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830" w:rsidRPr="00AE6299" w:rsidRDefault="00145830" w:rsidP="00145830">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145830" w:rsidRPr="00EF6D22" w:rsidRDefault="00145830" w:rsidP="00145830">
      <w:pPr>
        <w:pStyle w:val="Textoindependiente3"/>
        <w:spacing w:after="0"/>
        <w:rPr>
          <w:rFonts w:ascii="Tahoma" w:hAnsi="Tahoma" w:cs="Tahoma"/>
          <w:i/>
          <w:sz w:val="22"/>
          <w:szCs w:val="22"/>
          <w:lang w:val="es-ES"/>
        </w:rPr>
      </w:pPr>
    </w:p>
    <w:p w:rsidR="00145830" w:rsidRPr="00EF6D22" w:rsidRDefault="00145830" w:rsidP="00145830">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87142D">
        <w:rPr>
          <w:rFonts w:ascii="Tahoma" w:hAnsi="Tahoma" w:cs="Tahoma"/>
          <w:b/>
          <w:sz w:val="22"/>
          <w:szCs w:val="22"/>
        </w:rPr>
        <w:t xml:space="preserve"> 30 de Mayo de 2011</w:t>
      </w:r>
    </w:p>
    <w:p w:rsidR="00145830" w:rsidRPr="00EF6D22" w:rsidRDefault="00145830" w:rsidP="00145830">
      <w:pPr>
        <w:pStyle w:val="Textoindependiente3"/>
        <w:spacing w:after="0"/>
        <w:ind w:left="5387"/>
        <w:jc w:val="both"/>
        <w:rPr>
          <w:rFonts w:ascii="Tahoma" w:hAnsi="Tahoma" w:cs="Tahoma"/>
          <w:b/>
          <w:sz w:val="22"/>
          <w:szCs w:val="22"/>
        </w:rPr>
      </w:pPr>
    </w:p>
    <w:p w:rsidR="00145830" w:rsidRPr="00D00ECC" w:rsidRDefault="00145830" w:rsidP="00145830">
      <w:pPr>
        <w:ind w:firstLine="567"/>
        <w:contextualSpacing/>
        <w:jc w:val="both"/>
        <w:rPr>
          <w:rFonts w:ascii="Tahoma" w:hAnsi="Tahoma" w:cs="Tahoma"/>
          <w:sz w:val="21"/>
          <w:szCs w:val="21"/>
        </w:rPr>
      </w:pPr>
      <w:r w:rsidRPr="00D00ECC">
        <w:rPr>
          <w:rFonts w:ascii="Tahoma" w:hAnsi="Tahoma" w:cs="Tahoma"/>
          <w:b/>
          <w:sz w:val="21"/>
          <w:szCs w:val="21"/>
        </w:rPr>
        <w:t xml:space="preserve">Visto </w:t>
      </w:r>
      <w:r w:rsidR="00E654E6">
        <w:rPr>
          <w:rFonts w:ascii="Tahoma" w:hAnsi="Tahoma" w:cs="Tahoma"/>
          <w:sz w:val="21"/>
          <w:szCs w:val="21"/>
        </w:rPr>
        <w:t>en sesión de fecha 30</w:t>
      </w:r>
      <w:r w:rsidRPr="00D00ECC">
        <w:rPr>
          <w:rFonts w:ascii="Tahoma" w:hAnsi="Tahoma" w:cs="Tahoma"/>
          <w:sz w:val="21"/>
          <w:szCs w:val="21"/>
        </w:rPr>
        <w:t xml:space="preserve"> de mayo de 2011 la Primera Sala del Tribunal de Contrataciones del Estado el Expediente N° 1611-2010-TC; sobre el procedimiento administrativo sancionador iniciado contra la empresa EMECO CONTRATISTAS GENERALES S.A.C., </w:t>
      </w:r>
      <w:r w:rsidRPr="00D00ECC">
        <w:rPr>
          <w:rFonts w:ascii="Tahoma" w:hAnsi="Tahoma" w:cs="Tahoma"/>
          <w:sz w:val="21"/>
          <w:szCs w:val="21"/>
          <w:lang w:val="es-ES_tradnl" w:eastAsia="es-PE"/>
        </w:rPr>
        <w:t>por supuesta responsabilidad en la presentación de documentos falso o inexacto, presentado en la solicitud de Inscripción como Ejecutor de Obras</w:t>
      </w:r>
      <w:r w:rsidRPr="00D00ECC">
        <w:rPr>
          <w:rFonts w:ascii="Tahoma" w:hAnsi="Tahoma" w:cs="Tahoma"/>
          <w:sz w:val="21"/>
          <w:szCs w:val="21"/>
        </w:rPr>
        <w:t>.</w:t>
      </w:r>
    </w:p>
    <w:p w:rsidR="00145830" w:rsidRPr="00D00ECC" w:rsidRDefault="00145830" w:rsidP="00145830">
      <w:pPr>
        <w:ind w:firstLine="567"/>
        <w:contextualSpacing/>
        <w:jc w:val="both"/>
        <w:rPr>
          <w:rFonts w:ascii="Tahoma" w:hAnsi="Tahoma" w:cs="Tahoma"/>
          <w:b/>
          <w:sz w:val="21"/>
          <w:szCs w:val="21"/>
          <w:lang w:val="es-ES_tradnl"/>
        </w:rPr>
      </w:pPr>
    </w:p>
    <w:p w:rsidR="00145830" w:rsidRPr="00D00ECC" w:rsidRDefault="00145830" w:rsidP="00145830">
      <w:pPr>
        <w:pStyle w:val="Prrafodelista"/>
        <w:ind w:left="567"/>
        <w:rPr>
          <w:rFonts w:ascii="Tahoma" w:hAnsi="Tahoma" w:cs="Tahoma"/>
          <w:b/>
          <w:sz w:val="21"/>
          <w:szCs w:val="21"/>
        </w:rPr>
      </w:pPr>
      <w:r w:rsidRPr="00D00ECC">
        <w:rPr>
          <w:rFonts w:ascii="Tahoma" w:hAnsi="Tahoma" w:cs="Tahoma"/>
          <w:b/>
          <w:sz w:val="21"/>
          <w:szCs w:val="21"/>
        </w:rPr>
        <w:t>ANTECEDENTES:</w:t>
      </w:r>
    </w:p>
    <w:p w:rsidR="00145830" w:rsidRPr="00D00ECC" w:rsidRDefault="00145830" w:rsidP="00145830">
      <w:pPr>
        <w:jc w:val="both"/>
        <w:rPr>
          <w:rFonts w:ascii="Tahoma" w:hAnsi="Tahoma" w:cs="Tahoma"/>
          <w:b/>
          <w:sz w:val="21"/>
          <w:szCs w:val="21"/>
          <w:lang w:eastAsia="es-PE"/>
        </w:rPr>
      </w:pPr>
    </w:p>
    <w:p w:rsidR="00145830" w:rsidRPr="00D00ECC" w:rsidRDefault="00145830" w:rsidP="00145830">
      <w:pPr>
        <w:numPr>
          <w:ilvl w:val="0"/>
          <w:numId w:val="8"/>
        </w:numPr>
        <w:tabs>
          <w:tab w:val="clear" w:pos="360"/>
          <w:tab w:val="num" w:pos="567"/>
        </w:tabs>
        <w:ind w:left="567" w:hanging="567"/>
        <w:jc w:val="both"/>
        <w:rPr>
          <w:rFonts w:ascii="Tahoma" w:hAnsi="Tahoma" w:cs="Tahoma"/>
          <w:sz w:val="21"/>
          <w:szCs w:val="21"/>
        </w:rPr>
      </w:pPr>
      <w:r w:rsidRPr="00D00ECC">
        <w:rPr>
          <w:rFonts w:ascii="Tahoma" w:hAnsi="Tahoma" w:cs="Tahoma"/>
          <w:sz w:val="21"/>
          <w:szCs w:val="21"/>
        </w:rPr>
        <w:t>El 24 de junio de 2008, la empresa EMECO CONTRATISTAS GENERALES S.A.C., en adelante la Denunciada, solicitó su Inscripción como Ejecutor de Obras ante el Registro Nacional de Proveedores, la misma que fue aprobada mediante Resolución de la Subdirección del Registro Nacional de Proveedores Nº 7007-2008-CONSUCODE/SRNP de fecha 04 de agosto de 2008.</w:t>
      </w:r>
    </w:p>
    <w:p w:rsidR="00145830" w:rsidRPr="00D00ECC" w:rsidRDefault="00145830" w:rsidP="00145830">
      <w:pPr>
        <w:ind w:left="567"/>
        <w:jc w:val="both"/>
        <w:rPr>
          <w:rFonts w:ascii="Tahoma" w:hAnsi="Tahoma" w:cs="Tahoma"/>
          <w:sz w:val="21"/>
          <w:szCs w:val="21"/>
        </w:rPr>
      </w:pPr>
    </w:p>
    <w:p w:rsidR="00145830" w:rsidRPr="00D00ECC" w:rsidRDefault="00145830" w:rsidP="00145830">
      <w:pPr>
        <w:numPr>
          <w:ilvl w:val="0"/>
          <w:numId w:val="8"/>
        </w:numPr>
        <w:tabs>
          <w:tab w:val="clear" w:pos="360"/>
          <w:tab w:val="num" w:pos="567"/>
        </w:tabs>
        <w:ind w:left="567" w:hanging="567"/>
        <w:jc w:val="both"/>
        <w:rPr>
          <w:rFonts w:ascii="Tahoma" w:hAnsi="Tahoma" w:cs="Tahoma"/>
          <w:sz w:val="21"/>
          <w:szCs w:val="21"/>
        </w:rPr>
      </w:pPr>
      <w:r w:rsidRPr="00D00ECC">
        <w:rPr>
          <w:rFonts w:ascii="Tahoma" w:hAnsi="Tahoma" w:cs="Tahoma"/>
          <w:sz w:val="21"/>
          <w:szCs w:val="21"/>
        </w:rPr>
        <w:t>A través del Oficio Nº 364-2009-OSCE-DSFE/SF.DT de fecha 27 de marzo del 2009, la Dirección de Supervisión, Fiscalización y Estudios del OSCE, solicitó a la Municipalidad Distrital de Chilca que brinde su conformidad al Certificado – Licencia de Apertura para Funcionamiento de Establecimientos Comerciales y Actividades Profesionales y/o Servicios Nº 2617 de fecha 12 de junio del 2008, expedida a favor de la Denunciada.</w:t>
      </w:r>
    </w:p>
    <w:p w:rsidR="00145830" w:rsidRPr="00D00ECC" w:rsidRDefault="00145830" w:rsidP="00145830">
      <w:pPr>
        <w:pStyle w:val="Prrafodelista"/>
        <w:rPr>
          <w:rFonts w:ascii="Tahoma" w:hAnsi="Tahoma" w:cs="Tahoma"/>
          <w:sz w:val="21"/>
          <w:szCs w:val="21"/>
        </w:rPr>
      </w:pPr>
    </w:p>
    <w:p w:rsidR="00145830" w:rsidRPr="00D00ECC" w:rsidRDefault="00145830" w:rsidP="00145830">
      <w:pPr>
        <w:numPr>
          <w:ilvl w:val="0"/>
          <w:numId w:val="8"/>
        </w:numPr>
        <w:tabs>
          <w:tab w:val="clear" w:pos="360"/>
          <w:tab w:val="num" w:pos="567"/>
        </w:tabs>
        <w:ind w:left="567" w:hanging="567"/>
        <w:jc w:val="both"/>
        <w:rPr>
          <w:rFonts w:ascii="Tahoma" w:hAnsi="Tahoma" w:cs="Tahoma"/>
          <w:sz w:val="21"/>
          <w:szCs w:val="21"/>
        </w:rPr>
      </w:pPr>
      <w:r w:rsidRPr="00D00ECC">
        <w:rPr>
          <w:rFonts w:ascii="Tahoma" w:hAnsi="Tahoma" w:cs="Tahoma"/>
          <w:sz w:val="21"/>
          <w:szCs w:val="21"/>
        </w:rPr>
        <w:t>Con Oficio Nº 008-2009-GSSC/MDCH de fecha 16 de abril del 2009, la Municipalidad Distrital de Chilca informó a la Dirección de Supervisión, Fiscalización y Estudios del OSCE lo siguiente:</w:t>
      </w:r>
    </w:p>
    <w:p w:rsidR="00145830" w:rsidRDefault="00145830" w:rsidP="00145830">
      <w:pPr>
        <w:pStyle w:val="Prrafodelista"/>
        <w:rPr>
          <w:rFonts w:ascii="Tahoma" w:hAnsi="Tahoma" w:cs="Tahoma"/>
          <w:sz w:val="22"/>
          <w:szCs w:val="22"/>
        </w:rPr>
      </w:pPr>
    </w:p>
    <w:p w:rsidR="00145830" w:rsidRPr="00E85D09" w:rsidRDefault="00145830" w:rsidP="00145830">
      <w:pPr>
        <w:ind w:left="851" w:right="282"/>
        <w:jc w:val="both"/>
        <w:rPr>
          <w:rFonts w:ascii="Tahoma" w:hAnsi="Tahoma" w:cs="Tahoma"/>
          <w:i/>
          <w:sz w:val="18"/>
          <w:szCs w:val="18"/>
        </w:rPr>
      </w:pPr>
      <w:r w:rsidRPr="00E85D09">
        <w:rPr>
          <w:rFonts w:ascii="Tahoma" w:hAnsi="Tahoma" w:cs="Tahoma"/>
          <w:i/>
          <w:sz w:val="18"/>
          <w:szCs w:val="18"/>
        </w:rPr>
        <w:t>“Al respecto debo informarle, que si bien la Licencia mencionada ha sido emitida y registrada por la Municipalidad, la misma ha sido adulterada en cuanto al Número de Cartón de 02511 a 02617; al nombre del Titular de la Licencia de Cabezas Onofrio Elizabeth a Emeco Contratistas Generales SAC, al Giro de la Actividad Autorizada de Elaboración de Proyectos a Ejecución de Obras, y en la Fecha del 12 de Marzo de 2008 a 12 de Junio de 2008. Para lo cual adjunto al presente la copia fedateada de la Licencia Nº 022-08-MDCH, asimismo, copia del Informe Nº 083-09-SGC-GSSC/MDCH  de la Sub Gerencia de Comercialización, responsable de las Licencias”.</w:t>
      </w:r>
    </w:p>
    <w:p w:rsidR="00145830" w:rsidRPr="006F12B4" w:rsidRDefault="00145830" w:rsidP="00145830">
      <w:pPr>
        <w:pStyle w:val="Prrafodelista"/>
        <w:rPr>
          <w:rFonts w:ascii="Tahoma" w:hAnsi="Tahoma" w:cs="Tahoma"/>
          <w:sz w:val="22"/>
          <w:szCs w:val="22"/>
        </w:rPr>
      </w:pPr>
    </w:p>
    <w:p w:rsidR="00145830" w:rsidRPr="00D00ECC" w:rsidRDefault="00145830" w:rsidP="00145830">
      <w:pPr>
        <w:numPr>
          <w:ilvl w:val="0"/>
          <w:numId w:val="8"/>
        </w:numPr>
        <w:tabs>
          <w:tab w:val="clear" w:pos="360"/>
          <w:tab w:val="num" w:pos="540"/>
          <w:tab w:val="num" w:pos="567"/>
        </w:tabs>
        <w:ind w:left="540" w:hanging="540"/>
        <w:jc w:val="both"/>
        <w:rPr>
          <w:rFonts w:ascii="Tahoma" w:hAnsi="Tahoma" w:cs="Tahoma"/>
          <w:sz w:val="21"/>
          <w:szCs w:val="21"/>
        </w:rPr>
      </w:pPr>
      <w:r w:rsidRPr="00D00ECC">
        <w:rPr>
          <w:rFonts w:ascii="Tahoma" w:hAnsi="Tahoma" w:cs="Tahoma"/>
          <w:sz w:val="21"/>
          <w:szCs w:val="21"/>
        </w:rPr>
        <w:t xml:space="preserve">Mediante Resolución Nº 182-2009-OSCE/DSE de fecha 10 de diciembre del 2009, se dispuso declarar, entre otros, la Nulidad de la Resolución de la Subdirección del Registro Nacional de Proveedores Nº 7007-2008-CONSUCODE/SRNP de fecha 04 de </w:t>
      </w:r>
      <w:r w:rsidRPr="00D00ECC">
        <w:rPr>
          <w:rFonts w:ascii="Tahoma" w:hAnsi="Tahoma" w:cs="Tahoma"/>
          <w:sz w:val="21"/>
          <w:szCs w:val="21"/>
        </w:rPr>
        <w:lastRenderedPageBreak/>
        <w:t>agosto del 2008, que aprobó la Inscripción como Ejecutor de Obras en el Registro Nacional de Proveedores a la Denunciada; asimismo, se dispuso poner la presente resolución en conocimiento del Tribunal, a fin que se inicie el procedimiento administrativo sancionador.</w:t>
      </w:r>
    </w:p>
    <w:p w:rsidR="00145830" w:rsidRPr="00D00ECC" w:rsidRDefault="00145830" w:rsidP="00145830">
      <w:pPr>
        <w:tabs>
          <w:tab w:val="num" w:pos="567"/>
        </w:tabs>
        <w:ind w:left="540"/>
        <w:jc w:val="both"/>
        <w:rPr>
          <w:rFonts w:ascii="Tahoma" w:hAnsi="Tahoma" w:cs="Tahoma"/>
          <w:sz w:val="21"/>
          <w:szCs w:val="21"/>
        </w:rPr>
      </w:pPr>
    </w:p>
    <w:p w:rsidR="00145830" w:rsidRPr="00D00ECC" w:rsidRDefault="00145830" w:rsidP="00145830">
      <w:pPr>
        <w:numPr>
          <w:ilvl w:val="0"/>
          <w:numId w:val="8"/>
        </w:numPr>
        <w:tabs>
          <w:tab w:val="clear" w:pos="360"/>
          <w:tab w:val="num" w:pos="540"/>
          <w:tab w:val="num" w:pos="567"/>
        </w:tabs>
        <w:ind w:left="540" w:hanging="540"/>
        <w:jc w:val="both"/>
        <w:rPr>
          <w:rFonts w:ascii="Tahoma" w:hAnsi="Tahoma" w:cs="Tahoma"/>
          <w:sz w:val="21"/>
          <w:szCs w:val="21"/>
        </w:rPr>
      </w:pPr>
      <w:r w:rsidRPr="00D00ECC">
        <w:rPr>
          <w:rFonts w:ascii="Tahoma" w:hAnsi="Tahoma" w:cs="Tahoma"/>
          <w:sz w:val="21"/>
          <w:szCs w:val="21"/>
        </w:rPr>
        <w:t>Mediante Memorando Nº 1025-2010/DS-MSH de fecha 09 de noviembre de 2010, la Dirección del Seace del Organismo Supervisor de la Contrataciones del Estado comunicó a este Tribunal los hechos antes descritos.</w:t>
      </w:r>
    </w:p>
    <w:p w:rsidR="00145830" w:rsidRPr="00D00ECC" w:rsidRDefault="00145830" w:rsidP="00145830">
      <w:pPr>
        <w:tabs>
          <w:tab w:val="num" w:pos="567"/>
        </w:tabs>
        <w:jc w:val="both"/>
        <w:rPr>
          <w:rFonts w:ascii="Tahoma" w:hAnsi="Tahoma" w:cs="Tahoma"/>
          <w:sz w:val="21"/>
          <w:szCs w:val="21"/>
        </w:rPr>
      </w:pPr>
    </w:p>
    <w:p w:rsidR="00145830" w:rsidRPr="00D00ECC" w:rsidRDefault="00145830" w:rsidP="00145830">
      <w:pPr>
        <w:numPr>
          <w:ilvl w:val="0"/>
          <w:numId w:val="8"/>
        </w:numPr>
        <w:tabs>
          <w:tab w:val="clear" w:pos="360"/>
          <w:tab w:val="num" w:pos="540"/>
          <w:tab w:val="num" w:pos="567"/>
        </w:tabs>
        <w:ind w:left="567" w:hanging="567"/>
        <w:jc w:val="both"/>
        <w:rPr>
          <w:rFonts w:ascii="Tahoma" w:hAnsi="Tahoma" w:cs="Tahoma"/>
          <w:sz w:val="21"/>
          <w:szCs w:val="21"/>
          <w:lang w:val="es-ES_tradnl" w:eastAsia="es-PE"/>
        </w:rPr>
      </w:pPr>
      <w:r w:rsidRPr="00D00ECC">
        <w:rPr>
          <w:rFonts w:ascii="Tahoma" w:hAnsi="Tahoma" w:cs="Tahoma"/>
          <w:sz w:val="21"/>
          <w:szCs w:val="21"/>
          <w:lang w:eastAsia="es-PE"/>
        </w:rPr>
        <w:t>A través del</w:t>
      </w:r>
      <w:r w:rsidRPr="00D00ECC">
        <w:rPr>
          <w:rFonts w:ascii="Tahoma" w:hAnsi="Tahoma" w:cs="Tahoma"/>
          <w:sz w:val="21"/>
          <w:szCs w:val="21"/>
          <w:lang w:val="es-ES_tradnl" w:eastAsia="es-PE"/>
        </w:rPr>
        <w:t xml:space="preserve"> decreto de fecha 16 de noviembre de 2010, se dispuso el inicio de procedimiento sancionador contra </w:t>
      </w:r>
      <w:r w:rsidRPr="00D00ECC">
        <w:rPr>
          <w:rFonts w:ascii="Tahoma" w:hAnsi="Tahoma" w:cs="Tahoma"/>
          <w:sz w:val="21"/>
          <w:szCs w:val="21"/>
        </w:rPr>
        <w:t xml:space="preserve">la Denunciada, </w:t>
      </w:r>
      <w:r w:rsidRPr="00D00ECC">
        <w:rPr>
          <w:rFonts w:ascii="Tahoma" w:hAnsi="Tahoma" w:cs="Tahoma"/>
          <w:sz w:val="21"/>
          <w:szCs w:val="21"/>
          <w:lang w:val="es-ES_tradnl" w:eastAsia="es-PE"/>
        </w:rPr>
        <w:t>por supuesta responsabilidad en la presentación de la Licencia de Apertura para Funcionamiento de Establecimientos Comerciales y Actividades Profesionales y/o Servicios Nº 02617 de fecha 12 de junio del 2008, documento supuestamente falso o inexacto, presentado en la solicitud de Inscripción como Ejecutor de Obras.</w:t>
      </w:r>
    </w:p>
    <w:p w:rsidR="00145830" w:rsidRPr="00D00ECC" w:rsidRDefault="00145830" w:rsidP="00145830">
      <w:pPr>
        <w:rPr>
          <w:rFonts w:ascii="Tahoma" w:hAnsi="Tahoma" w:cs="Tahoma"/>
          <w:sz w:val="21"/>
          <w:szCs w:val="21"/>
          <w:lang w:eastAsia="es-PE"/>
        </w:rPr>
      </w:pPr>
    </w:p>
    <w:p w:rsidR="00145830" w:rsidRPr="00D00ECC" w:rsidRDefault="00145830" w:rsidP="00145830">
      <w:pPr>
        <w:ind w:left="567"/>
        <w:jc w:val="both"/>
        <w:rPr>
          <w:rFonts w:ascii="Tahoma" w:eastAsia="MS Mincho" w:hAnsi="Tahoma" w:cs="Tahoma"/>
          <w:sz w:val="21"/>
          <w:szCs w:val="21"/>
        </w:rPr>
      </w:pPr>
      <w:r w:rsidRPr="00D00ECC">
        <w:rPr>
          <w:rFonts w:ascii="Tahoma" w:eastAsia="MS Mincho" w:hAnsi="Tahoma" w:cs="Tahoma"/>
          <w:sz w:val="21"/>
          <w:szCs w:val="21"/>
        </w:rPr>
        <w:t>Asimismo, se les otorgó un plazo de diez (10) días hábiles para que cumpla con presentar sus descargos, bajo apercibimiento de resolver el procedimiento con la documentación obrante en el expediente.</w:t>
      </w:r>
    </w:p>
    <w:p w:rsidR="00145830" w:rsidRPr="00D00ECC" w:rsidRDefault="00145830" w:rsidP="00145830">
      <w:pPr>
        <w:ind w:left="567"/>
        <w:jc w:val="both"/>
        <w:rPr>
          <w:rFonts w:ascii="Tahoma" w:eastAsia="MS Mincho" w:hAnsi="Tahoma" w:cs="Tahoma"/>
          <w:sz w:val="21"/>
          <w:szCs w:val="21"/>
        </w:rPr>
      </w:pPr>
    </w:p>
    <w:p w:rsidR="00145830" w:rsidRPr="00D00ECC" w:rsidRDefault="00145830" w:rsidP="00145830">
      <w:pPr>
        <w:numPr>
          <w:ilvl w:val="0"/>
          <w:numId w:val="8"/>
        </w:numPr>
        <w:tabs>
          <w:tab w:val="clear" w:pos="360"/>
          <w:tab w:val="num" w:pos="540"/>
          <w:tab w:val="num" w:pos="567"/>
        </w:tabs>
        <w:ind w:left="567" w:hanging="567"/>
        <w:jc w:val="both"/>
        <w:rPr>
          <w:rFonts w:ascii="Tahoma" w:hAnsi="Tahoma" w:cs="Tahoma"/>
          <w:sz w:val="21"/>
          <w:szCs w:val="21"/>
          <w:lang w:val="es-ES_tradnl" w:eastAsia="es-PE"/>
        </w:rPr>
      </w:pPr>
      <w:r w:rsidRPr="00D00ECC">
        <w:rPr>
          <w:rFonts w:ascii="Tahoma" w:hAnsi="Tahoma" w:cs="Tahoma"/>
          <w:sz w:val="21"/>
          <w:szCs w:val="21"/>
          <w:lang w:val="es-ES_tradnl" w:eastAsia="es-PE"/>
        </w:rPr>
        <w:t>Mediante decreto de fecha 22 de febrero del 2011, se dispuso notificar vía publicación en el Boletín Oficial del Diario Oficial El Peruano el decreto de fecha 16 de noviembre del 2010, al ignorarse domicilio cierto de la Denunciada, de conformidad a lo establecido en el numeral 20.1.3 del artículo 20 y numeral 23.1.2 del artículo 23 de la Ley del Procedimiento Administrativo General, Ley 27444, a fin que la Denunciada cumpla con presentar sus descargos.</w:t>
      </w:r>
    </w:p>
    <w:p w:rsidR="00145830" w:rsidRPr="00D00ECC" w:rsidRDefault="00145830" w:rsidP="00145830">
      <w:pPr>
        <w:tabs>
          <w:tab w:val="num" w:pos="567"/>
        </w:tabs>
        <w:ind w:left="567"/>
        <w:jc w:val="both"/>
        <w:rPr>
          <w:rFonts w:ascii="Tahoma" w:hAnsi="Tahoma" w:cs="Tahoma"/>
          <w:sz w:val="21"/>
          <w:szCs w:val="21"/>
          <w:lang w:val="es-ES_tradnl" w:eastAsia="es-PE"/>
        </w:rPr>
      </w:pPr>
    </w:p>
    <w:p w:rsidR="00145830" w:rsidRPr="00D00ECC" w:rsidRDefault="00145830" w:rsidP="00145830">
      <w:pPr>
        <w:numPr>
          <w:ilvl w:val="0"/>
          <w:numId w:val="8"/>
        </w:numPr>
        <w:tabs>
          <w:tab w:val="clear" w:pos="360"/>
          <w:tab w:val="num" w:pos="540"/>
          <w:tab w:val="num" w:pos="567"/>
        </w:tabs>
        <w:ind w:left="567" w:hanging="567"/>
        <w:jc w:val="both"/>
        <w:rPr>
          <w:rFonts w:ascii="Tahoma" w:eastAsia="MS Mincho" w:hAnsi="Tahoma" w:cs="Tahoma"/>
          <w:sz w:val="21"/>
          <w:szCs w:val="21"/>
          <w:lang w:val="es-ES_tradnl"/>
        </w:rPr>
      </w:pPr>
      <w:r w:rsidRPr="00D00ECC">
        <w:rPr>
          <w:rFonts w:ascii="Tahoma" w:hAnsi="Tahoma" w:cs="Tahoma"/>
          <w:sz w:val="21"/>
          <w:szCs w:val="21"/>
          <w:lang w:val="es-ES_tradnl" w:eastAsia="es-PE"/>
        </w:rPr>
        <w:t>Con fecha 01 de abril de 2011, se notificó en el Boletín Oficial del Diario Oficial El Peruano el decreto de fecha 16 de noviembre del 2010,</w:t>
      </w:r>
      <w:r w:rsidRPr="00D00ECC">
        <w:rPr>
          <w:rFonts w:ascii="Tahoma" w:eastAsia="MS Mincho" w:hAnsi="Tahoma" w:cs="Tahoma"/>
          <w:sz w:val="21"/>
          <w:szCs w:val="21"/>
        </w:rPr>
        <w:t xml:space="preserve"> otorgando un plazo de diez (10) días hábiles a la Denunciada para que cumpla con presentar sus descargos, bajo apercibimiento de resolver el procedimiento con la documentación obrante en el expediente.</w:t>
      </w:r>
    </w:p>
    <w:p w:rsidR="00145830" w:rsidRPr="00D00ECC" w:rsidRDefault="00145830" w:rsidP="00145830">
      <w:pPr>
        <w:ind w:left="567"/>
        <w:jc w:val="both"/>
        <w:rPr>
          <w:rFonts w:ascii="Tahoma" w:eastAsia="MS Mincho" w:hAnsi="Tahoma" w:cs="Tahoma"/>
          <w:sz w:val="21"/>
          <w:szCs w:val="21"/>
        </w:rPr>
      </w:pPr>
    </w:p>
    <w:p w:rsidR="00145830" w:rsidRPr="00D00ECC" w:rsidRDefault="00145830" w:rsidP="00145830">
      <w:pPr>
        <w:numPr>
          <w:ilvl w:val="0"/>
          <w:numId w:val="8"/>
        </w:numPr>
        <w:tabs>
          <w:tab w:val="clear" w:pos="360"/>
          <w:tab w:val="num" w:pos="540"/>
          <w:tab w:val="num" w:pos="567"/>
        </w:tabs>
        <w:ind w:left="567" w:hanging="567"/>
        <w:jc w:val="both"/>
        <w:rPr>
          <w:rFonts w:ascii="Tahoma" w:hAnsi="Tahoma" w:cs="Tahoma"/>
          <w:sz w:val="21"/>
          <w:szCs w:val="21"/>
          <w:lang w:val="es-ES_tradnl" w:eastAsia="es-PE"/>
        </w:rPr>
      </w:pPr>
      <w:r w:rsidRPr="00D00ECC">
        <w:rPr>
          <w:rFonts w:ascii="Tahoma" w:hAnsi="Tahoma" w:cs="Tahoma"/>
          <w:sz w:val="21"/>
          <w:szCs w:val="21"/>
          <w:lang w:eastAsia="es-PE"/>
        </w:rPr>
        <w:t>Teniendo en cuenta que el Denunciado</w:t>
      </w:r>
      <w:r w:rsidRPr="00D00ECC">
        <w:rPr>
          <w:rFonts w:ascii="Tahoma" w:hAnsi="Tahoma" w:cs="Tahoma"/>
          <w:sz w:val="21"/>
          <w:szCs w:val="21"/>
        </w:rPr>
        <w:t xml:space="preserve">, </w:t>
      </w:r>
      <w:r w:rsidRPr="00D00ECC">
        <w:rPr>
          <w:rFonts w:ascii="Tahoma" w:hAnsi="Tahoma" w:cs="Tahoma"/>
          <w:sz w:val="21"/>
          <w:szCs w:val="21"/>
          <w:lang w:eastAsia="es-PE"/>
        </w:rPr>
        <w:t>no cumplió con presentar sus descargos en el plazo otorgado, mediante decreto del 25 de abril de 2011, se hizo efectivo el apercibimiento decretado de resolver con la documentación obrante en autos y se remitió el presente expediente a la Primera Sala del Tribunal para que resuelva.</w:t>
      </w:r>
    </w:p>
    <w:p w:rsidR="00145830" w:rsidRPr="00D00ECC" w:rsidRDefault="00145830" w:rsidP="00145830">
      <w:pPr>
        <w:rPr>
          <w:rFonts w:ascii="Tahoma" w:hAnsi="Tahoma" w:cs="Tahoma"/>
          <w:b/>
          <w:sz w:val="21"/>
          <w:szCs w:val="21"/>
        </w:rPr>
      </w:pPr>
    </w:p>
    <w:p w:rsidR="00145830" w:rsidRPr="00D00ECC" w:rsidRDefault="00145830" w:rsidP="00145830">
      <w:pPr>
        <w:pStyle w:val="Prrafodelista"/>
        <w:ind w:left="567"/>
        <w:rPr>
          <w:rFonts w:ascii="Tahoma" w:hAnsi="Tahoma" w:cs="Tahoma"/>
          <w:b/>
          <w:sz w:val="21"/>
          <w:szCs w:val="21"/>
        </w:rPr>
      </w:pPr>
      <w:r w:rsidRPr="00D00ECC">
        <w:rPr>
          <w:rFonts w:ascii="Tahoma" w:hAnsi="Tahoma" w:cs="Tahoma"/>
          <w:b/>
          <w:sz w:val="21"/>
          <w:szCs w:val="21"/>
        </w:rPr>
        <w:t>FUNDAMENTACIÓN</w:t>
      </w:r>
    </w:p>
    <w:p w:rsidR="00145830" w:rsidRPr="00D00ECC" w:rsidRDefault="00145830" w:rsidP="00145830">
      <w:pPr>
        <w:ind w:left="426"/>
        <w:jc w:val="both"/>
        <w:rPr>
          <w:rFonts w:ascii="Tahoma" w:hAnsi="Tahoma" w:cs="Tahoma"/>
          <w:sz w:val="21"/>
          <w:szCs w:val="21"/>
          <w:lang w:eastAsia="es-PE"/>
        </w:rPr>
      </w:pPr>
    </w:p>
    <w:p w:rsidR="00145830" w:rsidRPr="00D00ECC" w:rsidRDefault="00145830" w:rsidP="00145830">
      <w:pPr>
        <w:pStyle w:val="Prrafodelista"/>
        <w:numPr>
          <w:ilvl w:val="0"/>
          <w:numId w:val="9"/>
        </w:numPr>
        <w:tabs>
          <w:tab w:val="clear" w:pos="360"/>
        </w:tabs>
        <w:ind w:left="567" w:hanging="567"/>
        <w:jc w:val="both"/>
        <w:rPr>
          <w:rFonts w:ascii="Tahoma" w:hAnsi="Tahoma" w:cs="Tahoma"/>
          <w:sz w:val="21"/>
          <w:szCs w:val="21"/>
          <w:lang w:eastAsia="es-PE"/>
        </w:rPr>
      </w:pPr>
      <w:r w:rsidRPr="00D00ECC">
        <w:rPr>
          <w:rFonts w:ascii="Tahoma" w:hAnsi="Tahoma" w:cs="Tahoma"/>
          <w:sz w:val="21"/>
          <w:szCs w:val="21"/>
          <w:lang w:val="es-MX"/>
        </w:rPr>
        <w:t xml:space="preserve">El presente caso está referido a la supuesta responsabilidad </w:t>
      </w:r>
      <w:r w:rsidRPr="00D00ECC">
        <w:rPr>
          <w:rFonts w:ascii="Tahoma" w:hAnsi="Tahoma" w:cs="Tahoma"/>
          <w:sz w:val="21"/>
          <w:szCs w:val="21"/>
        </w:rPr>
        <w:t>de la Denunciada, por haber presentado documentos falsos o inexactos durante su Inscripción como Ejecutor de Obras ante el Registro Nacional de Proveedores</w:t>
      </w:r>
      <w:r w:rsidRPr="00D00ECC">
        <w:rPr>
          <w:rFonts w:ascii="Tahoma" w:hAnsi="Tahoma" w:cs="Tahoma"/>
          <w:sz w:val="21"/>
          <w:szCs w:val="21"/>
          <w:lang w:eastAsia="es-PE"/>
        </w:rPr>
        <w:t>,</w:t>
      </w:r>
      <w:r w:rsidRPr="00D00ECC">
        <w:rPr>
          <w:rFonts w:ascii="Tahoma" w:hAnsi="Tahoma" w:cs="Tahoma"/>
          <w:sz w:val="21"/>
          <w:szCs w:val="21"/>
        </w:rPr>
        <w:t xml:space="preserve"> infracción tipificada en el numeral 10) del artículo 294 del Reglamento de la Ley de Contrataciones y Adquisiciones del Estado, aprobado por Decreto Supremo Nº 084-2004-PCM, en adelante el Reglamento, norma vigente durante la ocurrencia de los hechos imputados.</w:t>
      </w:r>
    </w:p>
    <w:p w:rsidR="00145830" w:rsidRPr="00D00ECC" w:rsidRDefault="00145830" w:rsidP="00145830">
      <w:pPr>
        <w:jc w:val="both"/>
        <w:rPr>
          <w:rFonts w:ascii="Tahoma" w:hAnsi="Tahoma" w:cs="Tahoma"/>
          <w:sz w:val="21"/>
          <w:szCs w:val="21"/>
          <w:lang w:eastAsia="es-PE"/>
        </w:rPr>
      </w:pPr>
    </w:p>
    <w:p w:rsidR="00145830" w:rsidRPr="00D00ECC" w:rsidRDefault="00145830" w:rsidP="00145830">
      <w:pPr>
        <w:ind w:left="567"/>
        <w:jc w:val="both"/>
        <w:rPr>
          <w:rFonts w:ascii="Tahoma" w:hAnsi="Tahoma" w:cs="Tahoma"/>
          <w:sz w:val="21"/>
          <w:szCs w:val="21"/>
          <w:lang w:val="es-PE"/>
        </w:rPr>
      </w:pPr>
      <w:r w:rsidRPr="00D00ECC">
        <w:rPr>
          <w:rFonts w:ascii="Tahoma" w:hAnsi="Tahoma" w:cs="Tahoma"/>
          <w:sz w:val="21"/>
          <w:szCs w:val="21"/>
          <w:lang w:eastAsia="es-PE"/>
        </w:rPr>
        <w:t>Son</w:t>
      </w:r>
      <w:r w:rsidRPr="00D00ECC">
        <w:rPr>
          <w:rFonts w:ascii="Tahoma" w:hAnsi="Tahoma" w:cs="Tahoma"/>
          <w:sz w:val="21"/>
          <w:szCs w:val="21"/>
          <w:lang w:val="es-PE"/>
        </w:rPr>
        <w:t xml:space="preserve"> objeto de protección administrativa de la norma antes citada los bienes jurídicos y valores contemplados en los Principios de Moralidad, establecido en el literal b) de la Ley</w:t>
      </w:r>
      <w:r w:rsidRPr="00D00ECC">
        <w:rPr>
          <w:rStyle w:val="Refdenotaalpie"/>
          <w:rFonts w:ascii="Tahoma" w:hAnsi="Tahoma" w:cs="Tahoma"/>
          <w:sz w:val="21"/>
          <w:szCs w:val="21"/>
          <w:lang w:val="es-PE"/>
        </w:rPr>
        <w:footnoteReference w:id="2"/>
      </w:r>
      <w:r w:rsidRPr="00D00ECC">
        <w:rPr>
          <w:rFonts w:ascii="Tahoma" w:hAnsi="Tahoma" w:cs="Tahoma"/>
          <w:sz w:val="21"/>
          <w:szCs w:val="21"/>
          <w:lang w:val="es-PE"/>
        </w:rPr>
        <w:t>; y de Presunción de Veracidad, establecido en el numeral 1.7) del artículo IV de la Ley del Procedimiento Administrativo General, Ley 27444</w:t>
      </w:r>
      <w:r w:rsidRPr="00D00ECC">
        <w:rPr>
          <w:rStyle w:val="Refdenotaalpie"/>
          <w:rFonts w:ascii="Tahoma" w:hAnsi="Tahoma" w:cs="Tahoma"/>
          <w:sz w:val="21"/>
          <w:szCs w:val="21"/>
          <w:lang w:val="es-PE"/>
        </w:rPr>
        <w:footnoteReference w:id="3"/>
      </w:r>
      <w:r w:rsidRPr="00D00ECC">
        <w:rPr>
          <w:rFonts w:ascii="Tahoma" w:hAnsi="Tahoma" w:cs="Tahoma"/>
          <w:sz w:val="21"/>
          <w:szCs w:val="21"/>
          <w:lang w:val="es-PE"/>
        </w:rPr>
        <w:t>, que rigen las actuaciones de los administrados en los procesos administrativos en general, y principalmente, en los de carácter especial, como son los referidos al Sistema de Contrataciones del Estado</w:t>
      </w:r>
    </w:p>
    <w:p w:rsidR="00145830" w:rsidRPr="00D00ECC" w:rsidRDefault="00145830" w:rsidP="00145830">
      <w:pPr>
        <w:jc w:val="both"/>
        <w:rPr>
          <w:rFonts w:ascii="Tahoma" w:hAnsi="Tahoma" w:cs="Tahoma"/>
          <w:sz w:val="21"/>
          <w:szCs w:val="21"/>
          <w:lang w:eastAsia="es-PE"/>
        </w:rPr>
      </w:pPr>
    </w:p>
    <w:p w:rsidR="00145830" w:rsidRPr="00D00ECC" w:rsidRDefault="00145830" w:rsidP="00145830">
      <w:pPr>
        <w:numPr>
          <w:ilvl w:val="0"/>
          <w:numId w:val="9"/>
        </w:numPr>
        <w:tabs>
          <w:tab w:val="clear" w:pos="360"/>
        </w:tabs>
        <w:ind w:left="567" w:hanging="567"/>
        <w:jc w:val="both"/>
        <w:rPr>
          <w:rFonts w:ascii="Tahoma" w:hAnsi="Tahoma" w:cs="Tahoma"/>
          <w:sz w:val="21"/>
          <w:szCs w:val="21"/>
          <w:lang w:eastAsia="es-PE"/>
        </w:rPr>
      </w:pPr>
      <w:r w:rsidRPr="00D00ECC">
        <w:rPr>
          <w:rFonts w:ascii="Tahoma" w:hAnsi="Tahoma" w:cs="Tahoma"/>
          <w:sz w:val="21"/>
          <w:szCs w:val="21"/>
          <w:lang w:eastAsia="es-PE"/>
        </w:rPr>
        <w:t xml:space="preserve">Conforme a ello, este Tribunal, ha indicado en reiteradas ocasiones que </w:t>
      </w:r>
      <w:r w:rsidRPr="00D00ECC">
        <w:rPr>
          <w:rFonts w:ascii="Tahoma" w:hAnsi="Tahoma" w:cs="Tahoma"/>
          <w:sz w:val="21"/>
          <w:szCs w:val="21"/>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D00ECC">
        <w:rPr>
          <w:rFonts w:ascii="Tahoma" w:hAnsi="Tahoma" w:cs="Tahoma"/>
          <w:sz w:val="21"/>
          <w:szCs w:val="21"/>
        </w:rPr>
        <w:t xml:space="preserve"> </w:t>
      </w:r>
    </w:p>
    <w:p w:rsidR="00145830" w:rsidRPr="00D00ECC" w:rsidRDefault="00145830" w:rsidP="00145830">
      <w:pPr>
        <w:jc w:val="both"/>
        <w:rPr>
          <w:rFonts w:ascii="Tahoma" w:hAnsi="Tahoma" w:cs="Tahoma"/>
          <w:sz w:val="21"/>
          <w:szCs w:val="21"/>
        </w:rPr>
      </w:pPr>
    </w:p>
    <w:p w:rsidR="00145830" w:rsidRPr="00D00ECC" w:rsidRDefault="00145830" w:rsidP="00145830">
      <w:pPr>
        <w:ind w:left="567"/>
        <w:jc w:val="both"/>
        <w:rPr>
          <w:rFonts w:ascii="Tahoma" w:hAnsi="Tahoma" w:cs="Tahoma"/>
          <w:sz w:val="21"/>
          <w:szCs w:val="21"/>
          <w:lang w:val="es-PE"/>
        </w:rPr>
      </w:pPr>
      <w:r w:rsidRPr="00D00ECC">
        <w:rPr>
          <w:rFonts w:ascii="Tahoma" w:hAnsi="Tahoma" w:cs="Tahoma"/>
          <w:sz w:val="21"/>
          <w:szCs w:val="21"/>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145830" w:rsidRPr="00D00ECC" w:rsidRDefault="00145830" w:rsidP="00145830">
      <w:pPr>
        <w:jc w:val="both"/>
        <w:rPr>
          <w:rFonts w:ascii="Tahoma" w:hAnsi="Tahoma" w:cs="Tahoma"/>
          <w:sz w:val="21"/>
          <w:szCs w:val="21"/>
          <w:lang w:eastAsia="es-PE"/>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t>En el caso que nos ocupa, la imputación contra la Denunciada se refiere a la supuesta falsedad o inexactitud de la</w:t>
      </w:r>
      <w:r w:rsidRPr="00D00ECC">
        <w:rPr>
          <w:rFonts w:ascii="Tahoma" w:hAnsi="Tahoma" w:cs="Tahoma"/>
          <w:sz w:val="21"/>
          <w:szCs w:val="21"/>
          <w:lang w:val="es-ES_tradnl" w:eastAsia="es-PE"/>
        </w:rPr>
        <w:t xml:space="preserve"> Licencia de Apertura para Funcionamiento de Establecimientos Comerciales y Actividades Profesionales y/o Servicios Nº 02617 de fecha 12 de junio del 2008</w:t>
      </w:r>
      <w:r w:rsidRPr="00D00ECC">
        <w:rPr>
          <w:rFonts w:ascii="Tahoma" w:hAnsi="Tahoma" w:cs="Tahoma"/>
          <w:sz w:val="21"/>
          <w:szCs w:val="21"/>
        </w:rPr>
        <w:t>, la misma que habría sido emitida por la Municipalidad Distrital de Chilca a favor de la Denunciada.</w:t>
      </w:r>
    </w:p>
    <w:p w:rsidR="00145830" w:rsidRPr="00D00ECC" w:rsidRDefault="00145830" w:rsidP="00145830">
      <w:pPr>
        <w:jc w:val="both"/>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lang w:eastAsia="es-PE"/>
        </w:rPr>
        <w:t xml:space="preserve">Ahora bien, de la revisión de la documentación que obra en autos, se aprecia que mediante </w:t>
      </w:r>
      <w:r w:rsidRPr="00D00ECC">
        <w:rPr>
          <w:rFonts w:ascii="Tahoma" w:hAnsi="Tahoma" w:cs="Tahoma"/>
          <w:sz w:val="21"/>
          <w:szCs w:val="21"/>
        </w:rPr>
        <w:t>Oficio Nº 008-2009-GSSC/MDCH de fecha 16 de abril del 2009, la Municipalidad Distrital de Chilca informó lo siguiente:</w:t>
      </w:r>
    </w:p>
    <w:p w:rsidR="00145830" w:rsidRPr="00CE02CA" w:rsidRDefault="00145830" w:rsidP="00145830">
      <w:pPr>
        <w:rPr>
          <w:rFonts w:ascii="Tahoma" w:hAnsi="Tahoma" w:cs="Tahoma"/>
          <w:sz w:val="22"/>
          <w:szCs w:val="22"/>
        </w:rPr>
      </w:pPr>
    </w:p>
    <w:p w:rsidR="00145830" w:rsidRPr="00E85D09" w:rsidRDefault="00145830" w:rsidP="00145830">
      <w:pPr>
        <w:ind w:left="851" w:right="282"/>
        <w:jc w:val="both"/>
        <w:rPr>
          <w:rFonts w:ascii="Tahoma" w:hAnsi="Tahoma" w:cs="Tahoma"/>
          <w:i/>
          <w:sz w:val="18"/>
          <w:szCs w:val="18"/>
        </w:rPr>
      </w:pPr>
      <w:r w:rsidRPr="00E85D09">
        <w:rPr>
          <w:rFonts w:ascii="Tahoma" w:hAnsi="Tahoma" w:cs="Tahoma"/>
          <w:i/>
          <w:sz w:val="18"/>
          <w:szCs w:val="18"/>
        </w:rPr>
        <w:t>“Al respecto debo informarle, que si bien la Licencia mencionada ha sido emitida y registrada por la Municipalidad, la misma ha sido adulterada en cuanto al Número de Cartón de 02511 a 02617; al nombre del Titular de la Licencia de Cabezas Onofrio Elizabeth a Emeco Contratistas Generales SAC, al Giro de la Actividad Autorizada de Elaboración de Proyectos a Ejecución de Obras, y en la Fecha del 12 de Marzo de 2008 a 12 de Junio de 2008. Para lo cual adjunto al presente la copia fedateada de la Licencia Nº 022-08-MDCH, asimismo, copia del Informe Nº 083-09-SGC-GSSC/MDCH  de la Sub Gerencia de Comercialización, responsable de las Licencias”.</w:t>
      </w:r>
    </w:p>
    <w:p w:rsidR="00145830" w:rsidRDefault="00145830" w:rsidP="00145830">
      <w:pPr>
        <w:ind w:left="567"/>
        <w:jc w:val="both"/>
        <w:rPr>
          <w:rFonts w:ascii="Tahoma" w:hAnsi="Tahoma" w:cs="Tahoma"/>
          <w:sz w:val="22"/>
          <w:szCs w:val="22"/>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lastRenderedPageBreak/>
        <w:t>De lo señalado anteriormente, se puede advertir que el documento cuestionado, a saber la</w:t>
      </w:r>
      <w:r w:rsidRPr="00D00ECC">
        <w:rPr>
          <w:rFonts w:ascii="Tahoma" w:hAnsi="Tahoma" w:cs="Tahoma"/>
          <w:sz w:val="21"/>
          <w:szCs w:val="21"/>
          <w:lang w:val="es-ES_tradnl" w:eastAsia="es-PE"/>
        </w:rPr>
        <w:t xml:space="preserve"> Licencia de Apertura para Funcionamiento de Establecimientos Comerciales y Actividades Profesionales y/o Servicios Nº 02617 de fecha 12 de junio del 2008</w:t>
      </w:r>
      <w:r w:rsidRPr="00D00ECC">
        <w:rPr>
          <w:rFonts w:ascii="Tahoma" w:hAnsi="Tahoma" w:cs="Tahoma"/>
          <w:sz w:val="21"/>
          <w:szCs w:val="21"/>
        </w:rPr>
        <w:t xml:space="preserve"> es falso, toda vez que el supuesto emisor de dicho documento, es decir la Municipalidad Distrital de Chilca, ha señalado de manera expresa que dicho documento ha sido adulterado en cuanto al Número de Cartón, el nombre del Titular de la Licencia y el giro de la actividad autorizada.</w:t>
      </w:r>
    </w:p>
    <w:p w:rsidR="00145830" w:rsidRPr="00D00ECC" w:rsidRDefault="00145830" w:rsidP="00145830">
      <w:pPr>
        <w:ind w:left="567"/>
        <w:jc w:val="both"/>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t>Teniendo en cuenta lo señalado anteriormente, y considerando que la Denunciada no ha desvirtuado las imputaciones realizadas en su contra, este Colegiado considera que la Denunciada ha incurrido en la causal de infracción tipificada en el numeral 10 del artículo 294 del Reglamento, consecuentemente, existe mérito suficiente para imponerle la correspondiente sanción administrativa.</w:t>
      </w:r>
    </w:p>
    <w:p w:rsidR="00145830" w:rsidRPr="00D00ECC" w:rsidRDefault="00145830" w:rsidP="00145830">
      <w:pPr>
        <w:ind w:left="567"/>
        <w:jc w:val="both"/>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D00ECC">
        <w:rPr>
          <w:rFonts w:ascii="Tahoma" w:hAnsi="Tahoma" w:cs="Tahoma"/>
          <w:color w:val="000000" w:themeColor="text1"/>
          <w:sz w:val="21"/>
          <w:szCs w:val="21"/>
        </w:rPr>
        <w:t xml:space="preserve">, </w:t>
      </w:r>
      <w:r w:rsidRPr="00D00ECC">
        <w:rPr>
          <w:rFonts w:ascii="Tahoma" w:hAnsi="Tahoma" w:cs="Tahoma"/>
          <w:sz w:val="21"/>
          <w:szCs w:val="21"/>
        </w:rPr>
        <w:t>la cual deberá imponerse atendiendo a los criterios para graduar la sanción establecidos en el artículo 302 del citado cuerpo normativo</w:t>
      </w:r>
      <w:r w:rsidRPr="00D00ECC">
        <w:rPr>
          <w:rStyle w:val="Refdenotaalpie"/>
          <w:rFonts w:ascii="Tahoma" w:hAnsi="Tahoma" w:cs="Tahoma"/>
          <w:sz w:val="21"/>
          <w:szCs w:val="21"/>
        </w:rPr>
        <w:footnoteReference w:id="4"/>
      </w:r>
    </w:p>
    <w:p w:rsidR="00145830" w:rsidRPr="00D00ECC" w:rsidRDefault="00145830" w:rsidP="00145830">
      <w:pPr>
        <w:pStyle w:val="Prrafodelista"/>
        <w:rPr>
          <w:rFonts w:ascii="Tahoma" w:hAnsi="Tahoma" w:cs="Tahoma"/>
          <w:sz w:val="21"/>
          <w:szCs w:val="21"/>
          <w:lang w:val="es-ES"/>
        </w:rPr>
      </w:pPr>
    </w:p>
    <w:p w:rsidR="00145830" w:rsidRPr="00D00ECC" w:rsidRDefault="00145830" w:rsidP="00145830">
      <w:pPr>
        <w:pStyle w:val="Prrafodelista"/>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t>Sin perjuicio de ello, el Principio de Razonabilidad</w:t>
      </w:r>
      <w:r w:rsidRPr="00D00ECC">
        <w:rPr>
          <w:rFonts w:ascii="Tahoma" w:hAnsi="Tahoma" w:cs="Tahoma"/>
          <w:sz w:val="21"/>
          <w:szCs w:val="21"/>
          <w:vertAlign w:val="superscript"/>
        </w:rPr>
        <w:footnoteReference w:id="5"/>
      </w:r>
      <w:r w:rsidRPr="00D00ECC">
        <w:rPr>
          <w:rFonts w:ascii="Tahoma" w:hAnsi="Tahoma" w:cs="Tahoma"/>
          <w:sz w:val="21"/>
          <w:szCs w:val="21"/>
          <w:vertAlign w:val="superscript"/>
        </w:rPr>
        <w:t xml:space="preserve"> </w:t>
      </w:r>
      <w:r w:rsidRPr="00D00ECC">
        <w:rPr>
          <w:rFonts w:ascii="Tahoma" w:hAnsi="Tahoma" w:cs="Tahoma"/>
          <w:sz w:val="21"/>
          <w:szCs w:val="21"/>
        </w:rPr>
        <w:t>previsto en el numeral 3 del artículo 230 de la Ley № 27444 aconseja que las sanciones no deben ser desproporcionadas y que deben guardar relación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sanción a imponerse al Denunciado.</w:t>
      </w:r>
    </w:p>
    <w:p w:rsidR="00145830" w:rsidRPr="00D00ECC" w:rsidRDefault="00145830" w:rsidP="00145830">
      <w:pPr>
        <w:pStyle w:val="Prrafodelista"/>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lastRenderedPageBreak/>
        <w:t xml:space="preserve">De todo ello, debe tenerse en cuenta la conducta procesal de la Denunciada, toda vez que no ha cumplido con presentar sus descargos, a pesar de haber sido debidamente notificado mediante el </w:t>
      </w:r>
      <w:r w:rsidRPr="00D00ECC">
        <w:rPr>
          <w:rFonts w:ascii="Tahoma" w:hAnsi="Tahoma" w:cs="Tahoma"/>
          <w:sz w:val="21"/>
          <w:szCs w:val="21"/>
          <w:lang w:val="es-ES_tradnl" w:eastAsia="es-PE"/>
        </w:rPr>
        <w:t>Boletín Oficial del Diario Oficial El Peruano de fecha 01 de abril del 2011</w:t>
      </w:r>
      <w:r w:rsidRPr="00D00ECC">
        <w:rPr>
          <w:rFonts w:ascii="Tahoma" w:hAnsi="Tahoma" w:cs="Tahoma"/>
          <w:sz w:val="21"/>
          <w:szCs w:val="21"/>
        </w:rPr>
        <w:t>.</w:t>
      </w:r>
    </w:p>
    <w:p w:rsidR="00145830" w:rsidRPr="00D00ECC" w:rsidRDefault="00145830" w:rsidP="00145830">
      <w:pPr>
        <w:pStyle w:val="Prrafodelista"/>
        <w:rPr>
          <w:rFonts w:ascii="Tahoma" w:hAnsi="Tahoma" w:cs="Tahoma"/>
          <w:sz w:val="21"/>
          <w:szCs w:val="21"/>
        </w:rPr>
      </w:pPr>
    </w:p>
    <w:p w:rsidR="00145830" w:rsidRPr="00D00ECC" w:rsidRDefault="00145830" w:rsidP="00145830">
      <w:pPr>
        <w:pStyle w:val="Prrafodelista"/>
        <w:numPr>
          <w:ilvl w:val="0"/>
          <w:numId w:val="9"/>
        </w:numPr>
        <w:tabs>
          <w:tab w:val="clear" w:pos="360"/>
        </w:tabs>
        <w:ind w:left="567" w:hanging="567"/>
        <w:jc w:val="both"/>
        <w:rPr>
          <w:rFonts w:ascii="Tahoma" w:hAnsi="Tahoma" w:cs="Tahoma"/>
          <w:b/>
          <w:bCs/>
          <w:shadow/>
          <w:sz w:val="21"/>
          <w:szCs w:val="21"/>
        </w:rPr>
      </w:pPr>
      <w:r w:rsidRPr="00D00ECC">
        <w:rPr>
          <w:rFonts w:ascii="Tahoma" w:hAnsi="Tahoma" w:cs="Tahoma"/>
          <w:sz w:val="21"/>
          <w:szCs w:val="21"/>
        </w:rPr>
        <w:t>Asimismo, se debe tener en cuenta que la Denunciada ha cometido una infracción grave, toda vez que la inclusión de los documentos falsos han contravenido los P</w:t>
      </w:r>
      <w:r w:rsidRPr="00D00ECC">
        <w:rPr>
          <w:rFonts w:ascii="Tahoma" w:hAnsi="Tahoma" w:cs="Tahoma"/>
          <w:sz w:val="21"/>
          <w:szCs w:val="21"/>
          <w:lang w:val="es-PE"/>
        </w:rPr>
        <w:t>rincipios de Moralidad, establecido en el literal b) de la Ley</w:t>
      </w:r>
      <w:r w:rsidRPr="00D00ECC">
        <w:rPr>
          <w:rStyle w:val="Refdenotaalpie"/>
          <w:rFonts w:ascii="Tahoma" w:hAnsi="Tahoma" w:cs="Tahoma"/>
          <w:sz w:val="21"/>
          <w:szCs w:val="21"/>
          <w:lang w:val="es-PE"/>
        </w:rPr>
        <w:footnoteReference w:id="6"/>
      </w:r>
      <w:r w:rsidRPr="00D00ECC">
        <w:rPr>
          <w:rFonts w:ascii="Tahoma" w:hAnsi="Tahoma" w:cs="Tahoma"/>
          <w:sz w:val="21"/>
          <w:szCs w:val="21"/>
          <w:lang w:val="es-PE"/>
        </w:rPr>
        <w:t>; y de Presunción de Veracidad, establecido en el numeral 1.7) del artículo IV de la Ley del Procedimiento Administrativo General, Ley 27444</w:t>
      </w:r>
      <w:r w:rsidRPr="00D00ECC">
        <w:rPr>
          <w:rStyle w:val="Refdenotaalpie"/>
          <w:rFonts w:ascii="Tahoma" w:hAnsi="Tahoma" w:cs="Tahoma"/>
          <w:sz w:val="21"/>
          <w:szCs w:val="21"/>
          <w:lang w:val="es-PE"/>
        </w:rPr>
        <w:footnoteReference w:id="7"/>
      </w:r>
      <w:r w:rsidRPr="00D00ECC">
        <w:rPr>
          <w:rFonts w:ascii="Tahoma" w:hAnsi="Tahoma" w:cs="Tahoma"/>
          <w:sz w:val="21"/>
          <w:szCs w:val="21"/>
          <w:lang w:val="es-PE"/>
        </w:rPr>
        <w:t>, principios que deben regir en el Sistema de Contrataciones del Estado</w:t>
      </w:r>
      <w:r w:rsidRPr="00D00ECC">
        <w:rPr>
          <w:rFonts w:ascii="Tahoma" w:hAnsi="Tahoma" w:cs="Tahoma"/>
          <w:sz w:val="21"/>
          <w:szCs w:val="21"/>
        </w:rPr>
        <w:t>.</w:t>
      </w:r>
    </w:p>
    <w:p w:rsidR="00145830" w:rsidRPr="00D00ECC" w:rsidRDefault="00145830" w:rsidP="00145830">
      <w:pPr>
        <w:pStyle w:val="Prrafodelista"/>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lang w:val="es-ES_tradnl"/>
        </w:rPr>
        <w:t>Por otro lado</w:t>
      </w:r>
      <w:r w:rsidRPr="00D00ECC">
        <w:rPr>
          <w:rFonts w:ascii="Tahoma" w:hAnsi="Tahoma" w:cs="Tahoma"/>
          <w:sz w:val="21"/>
          <w:szCs w:val="21"/>
        </w:rPr>
        <w:t>, se debe tomar en cuenta que la Denunciada carece de antecedentes en la comisión de infracciones administrativas, criterio especialmente relevante a efectos de atenuar la sanción a imponerse en casos como éste.</w:t>
      </w:r>
    </w:p>
    <w:p w:rsidR="00145830" w:rsidRPr="00D00ECC" w:rsidRDefault="00145830" w:rsidP="00145830">
      <w:pPr>
        <w:pStyle w:val="Prrafodelista"/>
        <w:rPr>
          <w:rFonts w:ascii="Tahoma" w:hAnsi="Tahoma" w:cs="Tahoma"/>
          <w:sz w:val="21"/>
          <w:szCs w:val="21"/>
          <w:lang w:val="es-ES"/>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hAnsi="Tahoma" w:cs="Tahoma"/>
          <w:sz w:val="21"/>
          <w:szCs w:val="21"/>
        </w:rPr>
        <w:t>Por lo antes expuesto, sin que medien circunstancias adicionales que permitan atenuar la responsabilidad del Denunciado en la comisión de la infracción, corresponde imponerle la sanción administrativa de inhabilitación temporal en sus derechos para participar en procesos de selección y contratar con el Estado, por el periodo de ocho (08) meses.</w:t>
      </w:r>
    </w:p>
    <w:p w:rsidR="00145830" w:rsidRPr="00D00ECC" w:rsidRDefault="00145830" w:rsidP="00145830">
      <w:pPr>
        <w:pStyle w:val="Prrafodelista"/>
        <w:rPr>
          <w:rFonts w:ascii="Tahoma" w:hAnsi="Tahoma" w:cs="Tahoma"/>
          <w:sz w:val="21"/>
          <w:szCs w:val="21"/>
        </w:rPr>
      </w:pPr>
    </w:p>
    <w:p w:rsidR="00145830" w:rsidRPr="00D00ECC" w:rsidRDefault="00145830" w:rsidP="00145830">
      <w:pPr>
        <w:numPr>
          <w:ilvl w:val="0"/>
          <w:numId w:val="9"/>
        </w:numPr>
        <w:tabs>
          <w:tab w:val="clear" w:pos="360"/>
        </w:tabs>
        <w:ind w:left="567" w:hanging="567"/>
        <w:jc w:val="both"/>
        <w:rPr>
          <w:rFonts w:ascii="Tahoma" w:hAnsi="Tahoma" w:cs="Tahoma"/>
          <w:sz w:val="21"/>
          <w:szCs w:val="21"/>
        </w:rPr>
      </w:pPr>
      <w:r w:rsidRPr="00D00ECC">
        <w:rPr>
          <w:rFonts w:ascii="Tahoma" w:eastAsiaTheme="minorHAnsi" w:hAnsi="Tahoma" w:cs="Tahoma"/>
          <w:color w:val="000000"/>
          <w:sz w:val="21"/>
          <w:szCs w:val="21"/>
          <w:lang w:eastAsia="en-US"/>
        </w:rPr>
        <w:t>Finalmente, atendiendo a que la falsificación de documentos constituye un ilícito penal, previsto y sancionado en el artículo 427 del Código Penal</w:t>
      </w:r>
      <w:r w:rsidRPr="00D00ECC">
        <w:rPr>
          <w:rStyle w:val="Refdenotaalpie"/>
          <w:rFonts w:ascii="Tahoma" w:eastAsiaTheme="minorHAnsi" w:hAnsi="Tahoma"/>
          <w:color w:val="000000"/>
          <w:sz w:val="21"/>
          <w:szCs w:val="21"/>
          <w:lang w:eastAsia="en-US"/>
        </w:rPr>
        <w:footnoteReference w:id="8"/>
      </w:r>
      <w:r w:rsidRPr="00D00ECC">
        <w:rPr>
          <w:rFonts w:ascii="Tahoma" w:eastAsiaTheme="minorHAnsi" w:hAnsi="Tahoma" w:cs="Tahoma"/>
          <w:color w:val="000000"/>
          <w:sz w:val="21"/>
          <w:szCs w:val="21"/>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sidRPr="00D00ECC">
        <w:rPr>
          <w:rStyle w:val="Refdenotaalpie"/>
          <w:rFonts w:ascii="Tahoma" w:eastAsiaTheme="minorHAnsi" w:hAnsi="Tahoma"/>
          <w:color w:val="000000"/>
          <w:sz w:val="21"/>
          <w:szCs w:val="21"/>
          <w:lang w:eastAsia="en-US"/>
        </w:rPr>
        <w:footnoteReference w:id="9"/>
      </w:r>
      <w:r w:rsidRPr="00D00ECC">
        <w:rPr>
          <w:rFonts w:ascii="Tahoma" w:eastAsiaTheme="minorHAnsi" w:hAnsi="Tahoma" w:cs="Tahoma"/>
          <w:color w:val="000000"/>
          <w:sz w:val="21"/>
          <w:szCs w:val="21"/>
          <w:lang w:eastAsia="en-US"/>
        </w:rPr>
        <w:t xml:space="preserve">, también se encuentran tipificados como delito de falsedad genérica aquellos en los que se cometa falsedad simulando, suponiendo, alterando la verdad intencionalmente y con perjuicio de terceros, por </w:t>
      </w:r>
      <w:r w:rsidRPr="00D00ECC">
        <w:rPr>
          <w:rFonts w:ascii="Tahoma" w:eastAsiaTheme="minorHAnsi" w:hAnsi="Tahoma" w:cs="Tahoma"/>
          <w:color w:val="000000"/>
          <w:sz w:val="21"/>
          <w:szCs w:val="21"/>
          <w:lang w:eastAsia="en-US"/>
        </w:rPr>
        <w:lastRenderedPageBreak/>
        <w:t>palabras, hechos o usurpando nombre, calidad o empleo que no le corresponde, se dispone poner en conocimiento del Ministerio Público y la Presidencia del OSCE los hechos expuestos para que procedan conforme a sus atribuciones.</w:t>
      </w:r>
    </w:p>
    <w:p w:rsidR="00145830" w:rsidRPr="00D00ECC" w:rsidRDefault="00145830" w:rsidP="00145830">
      <w:pPr>
        <w:jc w:val="both"/>
        <w:rPr>
          <w:rFonts w:ascii="Tahoma" w:hAnsi="Tahoma" w:cs="Tahoma"/>
          <w:sz w:val="21"/>
          <w:szCs w:val="21"/>
        </w:rPr>
      </w:pPr>
    </w:p>
    <w:p w:rsidR="00145830" w:rsidRPr="00D00ECC" w:rsidRDefault="00145830" w:rsidP="00145830">
      <w:pPr>
        <w:tabs>
          <w:tab w:val="left" w:pos="3544"/>
          <w:tab w:val="left" w:pos="7230"/>
          <w:tab w:val="left" w:pos="8505"/>
        </w:tabs>
        <w:ind w:right="-486" w:firstLine="567"/>
        <w:jc w:val="both"/>
        <w:rPr>
          <w:rFonts w:ascii="Tahoma" w:eastAsiaTheme="minorHAnsi" w:hAnsi="Tahoma" w:cs="Tahoma"/>
          <w:color w:val="000000"/>
          <w:sz w:val="21"/>
          <w:szCs w:val="21"/>
        </w:rPr>
      </w:pPr>
      <w:r w:rsidRPr="00D00ECC">
        <w:rPr>
          <w:rFonts w:ascii="Tahoma" w:hAnsi="Tahoma" w:cs="Tahoma"/>
          <w:sz w:val="21"/>
          <w:szCs w:val="21"/>
        </w:rPr>
        <w:t xml:space="preserve">Por estos fundamentos, </w:t>
      </w:r>
      <w:r w:rsidRPr="00D00ECC">
        <w:rPr>
          <w:rFonts w:ascii="Tahoma" w:hAnsi="Tahoma" w:cs="Tahoma"/>
          <w:color w:val="000000"/>
          <w:sz w:val="21"/>
          <w:szCs w:val="21"/>
        </w:rPr>
        <w:t>de conformidad con el inf</w:t>
      </w:r>
      <w:r w:rsidRPr="00D00ECC">
        <w:rPr>
          <w:rFonts w:ascii="Tahoma" w:eastAsia="Calibri" w:hAnsi="Tahoma" w:cs="Tahoma"/>
          <w:color w:val="000000"/>
          <w:sz w:val="21"/>
          <w:szCs w:val="21"/>
        </w:rPr>
        <w:t xml:space="preserve">orme de la Vocal Ponente Dra. Ada Rosa Basulto Liewald y la intervención de los Señores Vocales </w:t>
      </w:r>
      <w:r w:rsidRPr="00D00ECC">
        <w:rPr>
          <w:rFonts w:ascii="Tahoma" w:eastAsiaTheme="minorHAnsi" w:hAnsi="Tahoma" w:cs="Tahoma"/>
          <w:color w:val="000000"/>
          <w:sz w:val="21"/>
          <w:szCs w:val="21"/>
        </w:rPr>
        <w:t xml:space="preserve">Dr. Carlos Vicente Navas Rondón y </w:t>
      </w:r>
      <w:r w:rsidRPr="00D00ECC">
        <w:rPr>
          <w:rFonts w:ascii="Tahoma" w:eastAsia="Calibri" w:hAnsi="Tahoma" w:cs="Tahoma"/>
          <w:color w:val="000000"/>
          <w:sz w:val="21"/>
          <w:szCs w:val="21"/>
        </w:rPr>
        <w:t xml:space="preserve">Dra. Janette Elke Ramírez Maynetto; </w:t>
      </w:r>
      <w:r w:rsidRPr="00D00ECC">
        <w:rPr>
          <w:rFonts w:ascii="Tahoma" w:eastAsiaTheme="minorHAnsi" w:hAnsi="Tahoma" w:cs="Tahoma"/>
          <w:color w:val="000000"/>
          <w:sz w:val="21"/>
          <w:szCs w:val="21"/>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145830" w:rsidRPr="00D00ECC" w:rsidRDefault="00145830" w:rsidP="00145830">
      <w:pPr>
        <w:ind w:firstLine="426"/>
        <w:jc w:val="both"/>
        <w:rPr>
          <w:rFonts w:ascii="Tahoma" w:hAnsi="Tahoma" w:cs="Tahoma"/>
          <w:sz w:val="21"/>
          <w:szCs w:val="21"/>
        </w:rPr>
      </w:pPr>
    </w:p>
    <w:p w:rsidR="00145830" w:rsidRPr="00D00ECC" w:rsidRDefault="00145830" w:rsidP="00145830">
      <w:pPr>
        <w:ind w:firstLine="567"/>
        <w:jc w:val="both"/>
        <w:rPr>
          <w:rFonts w:ascii="Tahoma" w:hAnsi="Tahoma" w:cs="Tahoma"/>
          <w:b/>
          <w:sz w:val="21"/>
          <w:szCs w:val="21"/>
        </w:rPr>
      </w:pPr>
      <w:r w:rsidRPr="00D00ECC">
        <w:rPr>
          <w:rFonts w:ascii="Tahoma" w:hAnsi="Tahoma" w:cs="Tahoma"/>
          <w:b/>
          <w:sz w:val="21"/>
          <w:szCs w:val="21"/>
        </w:rPr>
        <w:t xml:space="preserve">LA SALA RESUELVE: </w:t>
      </w:r>
    </w:p>
    <w:p w:rsidR="00145830" w:rsidRPr="00D00ECC" w:rsidRDefault="00145830" w:rsidP="00145830">
      <w:pPr>
        <w:jc w:val="both"/>
        <w:rPr>
          <w:rFonts w:ascii="Tahoma" w:hAnsi="Tahoma" w:cs="Tahoma"/>
          <w:snapToGrid w:val="0"/>
          <w:sz w:val="21"/>
          <w:szCs w:val="21"/>
        </w:rPr>
      </w:pPr>
    </w:p>
    <w:p w:rsidR="00145830" w:rsidRPr="00D00ECC" w:rsidRDefault="00145830" w:rsidP="00145830">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1"/>
          <w:szCs w:val="21"/>
        </w:rPr>
      </w:pPr>
      <w:r w:rsidRPr="00D00ECC">
        <w:rPr>
          <w:rFonts w:ascii="Tahoma" w:hAnsi="Tahoma" w:cs="Tahoma"/>
          <w:sz w:val="21"/>
          <w:szCs w:val="21"/>
        </w:rPr>
        <w:t xml:space="preserve">Imponer a la empresa EMECO CONTRATISTAS GENERALES S.A.C. sanción administrativa de inhabilitación temporal en sus derechos para participar en procesos de selección y contratar con el Estado, por el periodo de ocho (08) meses, la cual entrará en vigencia a partir del </w:t>
      </w:r>
      <w:r w:rsidR="00425722">
        <w:rPr>
          <w:rFonts w:ascii="Tahoma" w:hAnsi="Tahoma" w:cs="Tahoma"/>
          <w:sz w:val="21"/>
          <w:szCs w:val="21"/>
        </w:rPr>
        <w:t>sexto día hábil siguiente de publicada</w:t>
      </w:r>
      <w:r w:rsidRPr="00D00ECC">
        <w:rPr>
          <w:rFonts w:ascii="Tahoma" w:hAnsi="Tahoma" w:cs="Tahoma"/>
          <w:sz w:val="21"/>
          <w:szCs w:val="21"/>
        </w:rPr>
        <w:t xml:space="preserve"> la presente Resolución. </w:t>
      </w:r>
    </w:p>
    <w:p w:rsidR="00145830" w:rsidRPr="00D00ECC" w:rsidRDefault="00145830" w:rsidP="00145830">
      <w:pPr>
        <w:pStyle w:val="NormalWeb"/>
        <w:spacing w:before="0" w:beforeAutospacing="0" w:after="0" w:afterAutospacing="0"/>
        <w:ind w:left="540"/>
        <w:jc w:val="both"/>
        <w:rPr>
          <w:rFonts w:ascii="Tahoma" w:hAnsi="Tahoma" w:cs="Tahoma"/>
          <w:sz w:val="21"/>
          <w:szCs w:val="21"/>
        </w:rPr>
      </w:pPr>
    </w:p>
    <w:p w:rsidR="00145830" w:rsidRPr="00D00ECC" w:rsidRDefault="00145830" w:rsidP="00145830">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1"/>
          <w:szCs w:val="21"/>
        </w:rPr>
      </w:pPr>
      <w:r w:rsidRPr="00D00ECC">
        <w:rPr>
          <w:rFonts w:ascii="Tahoma" w:eastAsiaTheme="minorHAnsi" w:hAnsi="Tahoma" w:cs="Tahoma"/>
          <w:color w:val="000000"/>
          <w:sz w:val="21"/>
          <w:szCs w:val="21"/>
          <w:lang w:eastAsia="en-US"/>
        </w:rPr>
        <w:t>Poner la presente Resolución en conocimiento de la Presidencia Ejecutiva del OSCE, conforme a lo señalado en su fundamento 13, para que en mérito a sus facultades y de considerarlo pertinente, formule la denuncia penal correspondiente ante el Ministerio Público.</w:t>
      </w:r>
    </w:p>
    <w:p w:rsidR="00145830" w:rsidRPr="00D00ECC" w:rsidRDefault="00145830" w:rsidP="00145830">
      <w:pPr>
        <w:pStyle w:val="Prrafodelista"/>
        <w:rPr>
          <w:rFonts w:ascii="Tahoma" w:hAnsi="Tahoma" w:cs="Tahoma"/>
          <w:sz w:val="21"/>
          <w:szCs w:val="21"/>
        </w:rPr>
      </w:pPr>
    </w:p>
    <w:p w:rsidR="00145830" w:rsidRPr="00D00ECC" w:rsidRDefault="00145830" w:rsidP="00145830">
      <w:pPr>
        <w:pStyle w:val="NormalWeb"/>
        <w:numPr>
          <w:ilvl w:val="0"/>
          <w:numId w:val="10"/>
        </w:numPr>
        <w:tabs>
          <w:tab w:val="clear" w:pos="720"/>
          <w:tab w:val="num" w:pos="540"/>
        </w:tabs>
        <w:spacing w:before="0" w:beforeAutospacing="0" w:after="0" w:afterAutospacing="0"/>
        <w:ind w:left="540" w:hanging="540"/>
        <w:jc w:val="both"/>
        <w:rPr>
          <w:rFonts w:ascii="Tahoma" w:hAnsi="Tahoma" w:cs="Tahoma"/>
          <w:sz w:val="21"/>
          <w:szCs w:val="21"/>
        </w:rPr>
      </w:pPr>
      <w:r w:rsidRPr="00D00ECC">
        <w:rPr>
          <w:rFonts w:ascii="Tahoma" w:hAnsi="Tahoma" w:cs="Tahoma"/>
          <w:sz w:val="21"/>
          <w:szCs w:val="21"/>
        </w:rPr>
        <w:t>Poner la presente Resolución en conocimiento de la Subdirección del Registro Nacional de Proveedores del Organismo Supervisor de las Contrataciones del Estado (OSCE) para las anotaciones de ley correspondientes.</w:t>
      </w:r>
    </w:p>
    <w:p w:rsidR="00145830" w:rsidRPr="00D00ECC" w:rsidRDefault="00145830" w:rsidP="00145830">
      <w:pPr>
        <w:tabs>
          <w:tab w:val="left" w:pos="180"/>
          <w:tab w:val="left" w:pos="540"/>
        </w:tabs>
        <w:ind w:left="540"/>
        <w:jc w:val="both"/>
        <w:rPr>
          <w:rFonts w:ascii="Tahoma" w:hAnsi="Tahoma" w:cs="Tahoma"/>
          <w:sz w:val="21"/>
          <w:szCs w:val="21"/>
        </w:rPr>
      </w:pPr>
    </w:p>
    <w:p w:rsidR="00145830" w:rsidRPr="00D00ECC" w:rsidRDefault="00145830" w:rsidP="00145830">
      <w:pPr>
        <w:jc w:val="both"/>
        <w:rPr>
          <w:rFonts w:ascii="Tahoma" w:hAnsi="Tahoma" w:cs="Tahoma"/>
          <w:sz w:val="21"/>
          <w:szCs w:val="21"/>
        </w:rPr>
      </w:pPr>
    </w:p>
    <w:p w:rsidR="00145830" w:rsidRPr="00D00ECC" w:rsidRDefault="00145830" w:rsidP="00145830">
      <w:pPr>
        <w:pStyle w:val="Textoindependiente21"/>
        <w:ind w:firstLine="567"/>
        <w:rPr>
          <w:rFonts w:cs="Tahoma"/>
          <w:sz w:val="21"/>
          <w:szCs w:val="21"/>
        </w:rPr>
      </w:pPr>
      <w:r w:rsidRPr="00D00ECC">
        <w:rPr>
          <w:rFonts w:cs="Tahoma"/>
          <w:sz w:val="21"/>
          <w:szCs w:val="21"/>
        </w:rPr>
        <w:t>Regístrese, comuníquese y publíquese.</w:t>
      </w:r>
    </w:p>
    <w:p w:rsidR="00145830" w:rsidRPr="00D00ECC" w:rsidRDefault="00145830" w:rsidP="00145830">
      <w:pPr>
        <w:jc w:val="center"/>
        <w:rPr>
          <w:rFonts w:ascii="Tahoma" w:hAnsi="Tahoma" w:cs="Tahoma"/>
          <w:b/>
          <w:sz w:val="21"/>
          <w:szCs w:val="21"/>
        </w:rPr>
      </w:pPr>
    </w:p>
    <w:p w:rsidR="00145830" w:rsidRPr="00D00ECC" w:rsidRDefault="00145830" w:rsidP="00145830">
      <w:pPr>
        <w:jc w:val="center"/>
        <w:rPr>
          <w:rFonts w:ascii="Tahoma" w:hAnsi="Tahoma" w:cs="Tahoma"/>
          <w:b/>
          <w:sz w:val="21"/>
          <w:szCs w:val="21"/>
        </w:rPr>
      </w:pPr>
    </w:p>
    <w:p w:rsidR="00145830" w:rsidRPr="00D00ECC" w:rsidRDefault="00145830" w:rsidP="00145830">
      <w:pPr>
        <w:jc w:val="center"/>
        <w:rPr>
          <w:rFonts w:ascii="Tahoma" w:hAnsi="Tahoma" w:cs="Tahoma"/>
          <w:b/>
          <w:sz w:val="21"/>
          <w:szCs w:val="21"/>
        </w:rPr>
      </w:pPr>
    </w:p>
    <w:p w:rsidR="00145830" w:rsidRPr="00D00ECC" w:rsidRDefault="00145830" w:rsidP="00145830">
      <w:pPr>
        <w:jc w:val="center"/>
        <w:rPr>
          <w:rFonts w:ascii="Tahoma" w:hAnsi="Tahoma" w:cs="Tahoma"/>
          <w:b/>
          <w:sz w:val="21"/>
          <w:szCs w:val="21"/>
        </w:rPr>
      </w:pPr>
    </w:p>
    <w:p w:rsidR="00145830" w:rsidRPr="00D00ECC" w:rsidRDefault="00145830" w:rsidP="00145830">
      <w:pPr>
        <w:jc w:val="center"/>
        <w:rPr>
          <w:rFonts w:ascii="Tahoma" w:hAnsi="Tahoma" w:cs="Tahoma"/>
          <w:b/>
          <w:sz w:val="21"/>
          <w:szCs w:val="21"/>
        </w:rPr>
      </w:pPr>
    </w:p>
    <w:p w:rsidR="00145830" w:rsidRPr="00D00ECC" w:rsidRDefault="00145830" w:rsidP="00145830">
      <w:pPr>
        <w:jc w:val="center"/>
        <w:rPr>
          <w:rFonts w:ascii="Tahoma" w:hAnsi="Tahoma" w:cs="Tahoma"/>
          <w:b/>
          <w:shadow/>
          <w:sz w:val="21"/>
          <w:szCs w:val="21"/>
          <w:lang w:val="pt-BR"/>
        </w:rPr>
      </w:pPr>
      <w:r w:rsidRPr="00D00ECC">
        <w:rPr>
          <w:rFonts w:ascii="Tahoma" w:hAnsi="Tahoma" w:cs="Tahoma"/>
          <w:b/>
          <w:shadow/>
          <w:sz w:val="21"/>
          <w:szCs w:val="21"/>
          <w:lang w:val="pt-BR"/>
        </w:rPr>
        <w:t>PRESIDENTE</w:t>
      </w:r>
    </w:p>
    <w:p w:rsidR="00145830" w:rsidRPr="00D00ECC" w:rsidRDefault="00145830" w:rsidP="00145830">
      <w:pPr>
        <w:ind w:firstLine="708"/>
        <w:rPr>
          <w:rFonts w:ascii="Tahoma" w:hAnsi="Tahoma" w:cs="Tahoma"/>
          <w:b/>
          <w:shadow/>
          <w:sz w:val="21"/>
          <w:szCs w:val="21"/>
          <w:lang w:val="pt-BR"/>
        </w:rPr>
      </w:pPr>
    </w:p>
    <w:p w:rsidR="00145830" w:rsidRPr="00D00ECC" w:rsidRDefault="00145830" w:rsidP="00145830">
      <w:pPr>
        <w:ind w:firstLine="708"/>
        <w:rPr>
          <w:rFonts w:ascii="Tahoma" w:hAnsi="Tahoma" w:cs="Tahoma"/>
          <w:b/>
          <w:shadow/>
          <w:sz w:val="21"/>
          <w:szCs w:val="21"/>
          <w:lang w:val="pt-BR"/>
        </w:rPr>
      </w:pPr>
      <w:r w:rsidRPr="00D00ECC">
        <w:rPr>
          <w:rFonts w:ascii="Tahoma" w:hAnsi="Tahoma" w:cs="Tahoma"/>
          <w:b/>
          <w:shadow/>
          <w:sz w:val="21"/>
          <w:szCs w:val="21"/>
          <w:lang w:val="pt-BR"/>
        </w:rPr>
        <w:t xml:space="preserve">VOCAL           </w:t>
      </w:r>
      <w:r w:rsidRPr="00D00ECC">
        <w:rPr>
          <w:rFonts w:ascii="Tahoma" w:hAnsi="Tahoma" w:cs="Tahoma"/>
          <w:b/>
          <w:shadow/>
          <w:sz w:val="21"/>
          <w:szCs w:val="21"/>
          <w:lang w:val="pt-BR"/>
        </w:rPr>
        <w:tab/>
      </w:r>
      <w:r w:rsidRPr="00D00ECC">
        <w:rPr>
          <w:rFonts w:ascii="Tahoma" w:hAnsi="Tahoma" w:cs="Tahoma"/>
          <w:b/>
          <w:shadow/>
          <w:sz w:val="21"/>
          <w:szCs w:val="21"/>
          <w:lang w:val="pt-BR"/>
        </w:rPr>
        <w:tab/>
        <w:t xml:space="preserve">                                                                 VOCAL</w:t>
      </w:r>
    </w:p>
    <w:p w:rsidR="00145830" w:rsidRPr="00D00ECC" w:rsidRDefault="00145830" w:rsidP="00145830">
      <w:pPr>
        <w:rPr>
          <w:rFonts w:ascii="Tahoma" w:hAnsi="Tahoma" w:cs="Tahoma"/>
          <w:sz w:val="21"/>
          <w:szCs w:val="21"/>
          <w:lang w:val="pt-BR"/>
        </w:rPr>
      </w:pPr>
    </w:p>
    <w:p w:rsidR="00145830" w:rsidRPr="00D00ECC" w:rsidRDefault="00145830" w:rsidP="00145830">
      <w:pPr>
        <w:rPr>
          <w:rFonts w:ascii="Tahoma" w:hAnsi="Tahoma" w:cs="Tahoma"/>
          <w:sz w:val="21"/>
          <w:szCs w:val="21"/>
          <w:lang w:val="pt-BR"/>
        </w:rPr>
      </w:pPr>
    </w:p>
    <w:p w:rsidR="00145830" w:rsidRPr="00D00ECC" w:rsidRDefault="00145830" w:rsidP="00145830">
      <w:pPr>
        <w:jc w:val="both"/>
        <w:rPr>
          <w:rFonts w:ascii="Tahoma" w:hAnsi="Tahoma" w:cs="Tahoma"/>
          <w:sz w:val="21"/>
          <w:szCs w:val="21"/>
          <w:lang w:val="pt-BR"/>
        </w:rPr>
      </w:pPr>
      <w:r w:rsidRPr="00D00ECC">
        <w:rPr>
          <w:rFonts w:ascii="Tahoma" w:hAnsi="Tahoma" w:cs="Tahoma"/>
          <w:sz w:val="21"/>
          <w:szCs w:val="21"/>
          <w:lang w:val="pt-BR"/>
        </w:rPr>
        <w:t>ss.</w:t>
      </w:r>
    </w:p>
    <w:p w:rsidR="00145830" w:rsidRPr="00D00ECC" w:rsidRDefault="00145830" w:rsidP="00145830">
      <w:pPr>
        <w:jc w:val="both"/>
        <w:rPr>
          <w:rFonts w:ascii="Tahoma" w:hAnsi="Tahoma" w:cs="Tahoma"/>
          <w:sz w:val="21"/>
          <w:szCs w:val="21"/>
          <w:lang w:val="pt-BR"/>
        </w:rPr>
      </w:pPr>
      <w:r w:rsidRPr="00D00ECC">
        <w:rPr>
          <w:rFonts w:ascii="Tahoma" w:hAnsi="Tahoma" w:cs="Tahoma"/>
          <w:sz w:val="21"/>
          <w:szCs w:val="21"/>
          <w:lang w:val="pt-BR"/>
        </w:rPr>
        <w:t>Navas Rondon</w:t>
      </w:r>
    </w:p>
    <w:p w:rsidR="00145830" w:rsidRPr="00D00ECC" w:rsidRDefault="00145830" w:rsidP="00145830">
      <w:pPr>
        <w:pStyle w:val="Textoindependiente21"/>
        <w:tabs>
          <w:tab w:val="left" w:pos="5250"/>
        </w:tabs>
        <w:rPr>
          <w:rFonts w:cs="Tahoma"/>
          <w:sz w:val="21"/>
          <w:szCs w:val="21"/>
          <w:lang w:val="pt-BR"/>
        </w:rPr>
      </w:pPr>
      <w:r w:rsidRPr="00D00ECC">
        <w:rPr>
          <w:rFonts w:cs="Tahoma"/>
          <w:sz w:val="21"/>
          <w:szCs w:val="21"/>
          <w:lang w:val="en-US"/>
        </w:rPr>
        <w:t>Ramírez Maynetto.</w:t>
      </w:r>
    </w:p>
    <w:p w:rsidR="008B738B" w:rsidRDefault="00145830" w:rsidP="00D00ECC">
      <w:pPr>
        <w:pStyle w:val="Textoindependiente21"/>
        <w:tabs>
          <w:tab w:val="left" w:pos="5250"/>
        </w:tabs>
      </w:pPr>
      <w:r w:rsidRPr="00D00ECC">
        <w:rPr>
          <w:rFonts w:cs="Tahoma"/>
          <w:sz w:val="21"/>
          <w:szCs w:val="21"/>
          <w:lang w:val="pt-BR"/>
        </w:rPr>
        <w:t>Basulto Liewald.</w:t>
      </w:r>
    </w:p>
    <w:sectPr w:rsidR="008B738B" w:rsidSect="00524317">
      <w:headerReference w:type="default" r:id="rId8"/>
      <w:footerReference w:type="default" r:id="rId9"/>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2C8" w:rsidRDefault="00F152C8" w:rsidP="00145830">
      <w:r>
        <w:separator/>
      </w:r>
    </w:p>
  </w:endnote>
  <w:endnote w:type="continuationSeparator" w:id="1">
    <w:p w:rsidR="00F152C8" w:rsidRDefault="00F152C8" w:rsidP="001458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6133D2">
            <w:pPr>
              <w:pStyle w:val="Piedepgina"/>
              <w:jc w:val="center"/>
            </w:pPr>
            <w:r>
              <w:t xml:space="preserve">Página </w:t>
            </w:r>
            <w:r w:rsidR="00056E66">
              <w:rPr>
                <w:b/>
              </w:rPr>
              <w:fldChar w:fldCharType="begin"/>
            </w:r>
            <w:r>
              <w:rPr>
                <w:b/>
              </w:rPr>
              <w:instrText>PAGE</w:instrText>
            </w:r>
            <w:r w:rsidR="00056E66">
              <w:rPr>
                <w:b/>
              </w:rPr>
              <w:fldChar w:fldCharType="separate"/>
            </w:r>
            <w:r w:rsidR="0087142D">
              <w:rPr>
                <w:b/>
                <w:noProof/>
              </w:rPr>
              <w:t>1</w:t>
            </w:r>
            <w:r w:rsidR="00056E66">
              <w:rPr>
                <w:b/>
              </w:rPr>
              <w:fldChar w:fldCharType="end"/>
            </w:r>
            <w:r>
              <w:t xml:space="preserve"> de </w:t>
            </w:r>
            <w:r w:rsidR="00056E66">
              <w:rPr>
                <w:b/>
              </w:rPr>
              <w:fldChar w:fldCharType="begin"/>
            </w:r>
            <w:r>
              <w:rPr>
                <w:b/>
              </w:rPr>
              <w:instrText>NUMPAGES</w:instrText>
            </w:r>
            <w:r w:rsidR="00056E66">
              <w:rPr>
                <w:b/>
              </w:rPr>
              <w:fldChar w:fldCharType="separate"/>
            </w:r>
            <w:r w:rsidR="0087142D">
              <w:rPr>
                <w:b/>
                <w:noProof/>
              </w:rPr>
              <w:t>6</w:t>
            </w:r>
            <w:r w:rsidR="00056E66">
              <w:rPr>
                <w:b/>
              </w:rPr>
              <w:fldChar w:fldCharType="end"/>
            </w:r>
          </w:p>
        </w:sdtContent>
      </w:sdt>
    </w:sdtContent>
  </w:sdt>
  <w:p w:rsidR="00524317" w:rsidRDefault="00F152C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2C8" w:rsidRDefault="00F152C8" w:rsidP="00145830">
      <w:r>
        <w:separator/>
      </w:r>
    </w:p>
  </w:footnote>
  <w:footnote w:type="continuationSeparator" w:id="1">
    <w:p w:rsidR="00F152C8" w:rsidRDefault="00F152C8" w:rsidP="00145830">
      <w:r>
        <w:continuationSeparator/>
      </w:r>
    </w:p>
  </w:footnote>
  <w:footnote w:id="2">
    <w:p w:rsidR="00145830" w:rsidRPr="00912285" w:rsidRDefault="00145830" w:rsidP="0014583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145830" w:rsidRPr="00912285" w:rsidRDefault="00145830" w:rsidP="00145830">
      <w:pPr>
        <w:pStyle w:val="Textonotapie"/>
        <w:jc w:val="both"/>
        <w:rPr>
          <w:rFonts w:ascii="Tahoma" w:hAnsi="Tahoma" w:cs="Tahoma"/>
          <w:sz w:val="16"/>
          <w:szCs w:val="16"/>
        </w:rPr>
      </w:pPr>
    </w:p>
  </w:footnote>
  <w:footnote w:id="3">
    <w:p w:rsidR="00145830" w:rsidRPr="00912285" w:rsidRDefault="00145830" w:rsidP="0014583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w:t>
      </w:r>
    </w:p>
    <w:p w:rsidR="00145830" w:rsidRDefault="00145830" w:rsidP="00145830">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4">
    <w:p w:rsidR="00145830" w:rsidRPr="00AD2B82" w:rsidRDefault="00145830" w:rsidP="00145830">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145830" w:rsidRPr="00754384" w:rsidRDefault="00145830" w:rsidP="00145830">
      <w:pPr>
        <w:autoSpaceDE w:val="0"/>
        <w:autoSpaceDN w:val="0"/>
        <w:adjustRightInd w:val="0"/>
        <w:jc w:val="both"/>
        <w:rPr>
          <w:rFonts w:ascii="Tahoma" w:hAnsi="Tahoma" w:cs="Tahoma"/>
          <w:sz w:val="16"/>
          <w:szCs w:val="16"/>
        </w:rPr>
      </w:pP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145830" w:rsidRPr="00754384" w:rsidRDefault="00145830" w:rsidP="00145830">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145830" w:rsidRPr="00AB3CA7" w:rsidRDefault="00145830" w:rsidP="00145830">
      <w:pPr>
        <w:pStyle w:val="Textonotapie"/>
        <w:rPr>
          <w:rFonts w:ascii="Tahoma" w:hAnsi="Tahoma" w:cs="Tahoma"/>
          <w:sz w:val="16"/>
          <w:szCs w:val="16"/>
        </w:rPr>
      </w:pPr>
    </w:p>
  </w:footnote>
  <w:footnote w:id="5">
    <w:p w:rsidR="00145830" w:rsidRPr="00AB3CA7" w:rsidRDefault="00145830" w:rsidP="00145830">
      <w:pPr>
        <w:pStyle w:val="Textonotapie"/>
        <w:tabs>
          <w:tab w:val="left" w:pos="360"/>
        </w:tabs>
        <w:ind w:left="360" w:hanging="360"/>
        <w:jc w:val="both"/>
        <w:rPr>
          <w:rFonts w:ascii="Tahoma" w:hAnsi="Tahoma" w:cs="Tahoma"/>
          <w:sz w:val="16"/>
          <w:szCs w:val="16"/>
        </w:rPr>
      </w:pPr>
      <w:r w:rsidRPr="00AB3CA7">
        <w:rPr>
          <w:rFonts w:ascii="Tahoma" w:hAnsi="Tahoma" w:cs="Tahoma"/>
          <w:sz w:val="16"/>
          <w:szCs w:val="16"/>
        </w:rPr>
        <w:t xml:space="preserve">    […]</w:t>
      </w:r>
    </w:p>
    <w:p w:rsidR="00145830" w:rsidRPr="00AB3CA7" w:rsidRDefault="00145830" w:rsidP="00145830">
      <w:pPr>
        <w:pStyle w:val="Textonotapie"/>
        <w:tabs>
          <w:tab w:val="left" w:pos="360"/>
        </w:tabs>
        <w:ind w:left="360" w:hanging="360"/>
        <w:jc w:val="both"/>
        <w:rPr>
          <w:rFonts w:ascii="Tahoma" w:hAnsi="Tahoma" w:cs="Tahoma"/>
          <w:sz w:val="16"/>
          <w:szCs w:val="16"/>
        </w:rPr>
      </w:pPr>
      <w:r w:rsidRPr="00AB3CA7">
        <w:rPr>
          <w:rStyle w:val="Refdenotaalpie"/>
          <w:rFonts w:ascii="Tahoma" w:hAnsi="Tahoma" w:cs="Tahoma"/>
          <w:sz w:val="16"/>
          <w:szCs w:val="16"/>
        </w:rPr>
        <w:footnoteRef/>
      </w:r>
      <w:r w:rsidRPr="00AB3CA7">
        <w:rPr>
          <w:rFonts w:ascii="Tahoma" w:hAnsi="Tahoma" w:cs="Tahoma"/>
          <w:sz w:val="16"/>
          <w:szCs w:val="16"/>
        </w:rPr>
        <w:t xml:space="preserve"> </w:t>
      </w:r>
      <w:r w:rsidRPr="00AB3CA7">
        <w:rPr>
          <w:rFonts w:ascii="Tahoma" w:hAnsi="Tahoma" w:cs="Tahoma"/>
          <w:b/>
          <w:sz w:val="16"/>
          <w:szCs w:val="16"/>
        </w:rPr>
        <w:t>Artículo 230.-</w:t>
      </w:r>
      <w:r w:rsidRPr="00AB3CA7">
        <w:rPr>
          <w:rFonts w:ascii="Tahoma" w:hAnsi="Tahoma" w:cs="Tahoma"/>
          <w:sz w:val="16"/>
          <w:szCs w:val="16"/>
        </w:rPr>
        <w:t xml:space="preserve"> </w:t>
      </w:r>
      <w:r w:rsidRPr="00AB3CA7">
        <w:rPr>
          <w:rFonts w:ascii="Tahoma" w:hAnsi="Tahoma" w:cs="Tahoma"/>
          <w:b/>
          <w:sz w:val="16"/>
          <w:szCs w:val="16"/>
        </w:rPr>
        <w:t>Principios de la potestad sancionadora</w:t>
      </w:r>
    </w:p>
    <w:p w:rsidR="00145830" w:rsidRPr="00AB3CA7" w:rsidRDefault="00145830" w:rsidP="00145830">
      <w:pPr>
        <w:pStyle w:val="Textonotapie"/>
        <w:tabs>
          <w:tab w:val="left" w:pos="0"/>
        </w:tabs>
        <w:jc w:val="both"/>
        <w:rPr>
          <w:rFonts w:ascii="Tahoma" w:hAnsi="Tahoma" w:cs="Tahoma"/>
          <w:sz w:val="16"/>
          <w:szCs w:val="16"/>
        </w:rPr>
      </w:pPr>
      <w:r w:rsidRPr="00AB3CA7">
        <w:rPr>
          <w:rFonts w:ascii="Tahoma" w:hAnsi="Tahoma" w:cs="Tahoma"/>
          <w:sz w:val="16"/>
          <w:szCs w:val="16"/>
        </w:rPr>
        <w:t xml:space="preserve">    […]</w:t>
      </w:r>
    </w:p>
    <w:p w:rsidR="00145830" w:rsidRPr="00AB3CA7" w:rsidRDefault="00145830" w:rsidP="00145830">
      <w:pPr>
        <w:pStyle w:val="Textonotapie"/>
        <w:tabs>
          <w:tab w:val="left" w:pos="180"/>
        </w:tabs>
        <w:ind w:left="180"/>
        <w:jc w:val="both"/>
        <w:rPr>
          <w:rFonts w:ascii="Tahoma" w:hAnsi="Tahoma" w:cs="Tahoma"/>
          <w:sz w:val="16"/>
          <w:szCs w:val="16"/>
        </w:rPr>
      </w:pPr>
      <w:r w:rsidRPr="00AB3CA7">
        <w:rPr>
          <w:rFonts w:ascii="Tahoma" w:hAnsi="Tahoma"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145830" w:rsidRPr="00DA2922" w:rsidRDefault="00145830" w:rsidP="00145830">
      <w:pPr>
        <w:pStyle w:val="Textonotapie"/>
        <w:tabs>
          <w:tab w:val="left" w:pos="0"/>
        </w:tabs>
        <w:jc w:val="both"/>
      </w:pPr>
      <w:r w:rsidRPr="00AB3CA7">
        <w:rPr>
          <w:rFonts w:ascii="Tahoma" w:hAnsi="Tahoma" w:cs="Tahoma"/>
          <w:sz w:val="16"/>
          <w:szCs w:val="16"/>
        </w:rPr>
        <w:t xml:space="preserve">     […]</w:t>
      </w:r>
    </w:p>
  </w:footnote>
  <w:footnote w:id="6">
    <w:p w:rsidR="00145830" w:rsidRPr="00912285" w:rsidRDefault="00145830" w:rsidP="0014583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145830" w:rsidRPr="00912285" w:rsidRDefault="00145830" w:rsidP="00145830">
      <w:pPr>
        <w:pStyle w:val="Textonotapie"/>
        <w:jc w:val="both"/>
        <w:rPr>
          <w:rFonts w:ascii="Tahoma" w:hAnsi="Tahoma" w:cs="Tahoma"/>
          <w:sz w:val="16"/>
          <w:szCs w:val="16"/>
        </w:rPr>
      </w:pPr>
    </w:p>
  </w:footnote>
  <w:footnote w:id="7">
    <w:p w:rsidR="00145830" w:rsidRPr="00912285" w:rsidRDefault="00145830" w:rsidP="00145830">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145830" w:rsidRPr="00912285" w:rsidRDefault="00145830" w:rsidP="00145830">
      <w:pPr>
        <w:pStyle w:val="Textonotapie"/>
        <w:jc w:val="both"/>
        <w:rPr>
          <w:rFonts w:ascii="Tahoma" w:hAnsi="Tahoma" w:cs="Tahoma"/>
          <w:sz w:val="16"/>
          <w:szCs w:val="16"/>
        </w:rPr>
      </w:pPr>
      <w:r w:rsidRPr="00912285">
        <w:rPr>
          <w:rFonts w:ascii="Tahoma" w:hAnsi="Tahoma" w:cs="Tahoma"/>
          <w:sz w:val="16"/>
          <w:szCs w:val="16"/>
        </w:rPr>
        <w:t>(…)</w:t>
      </w:r>
    </w:p>
    <w:p w:rsidR="00145830" w:rsidRDefault="00145830" w:rsidP="00145830">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8">
    <w:p w:rsidR="00145830" w:rsidRPr="00DA52AE" w:rsidRDefault="00145830" w:rsidP="00145830">
      <w:pPr>
        <w:autoSpaceDE w:val="0"/>
        <w:autoSpaceDN w:val="0"/>
        <w:adjustRightInd w:val="0"/>
        <w:rPr>
          <w:rFonts w:ascii="Tahoma" w:eastAsiaTheme="minorHAnsi" w:hAnsi="Tahoma" w:cs="Tahoma"/>
          <w:b/>
          <w:bCs/>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427.- Falsificación de documentos</w:t>
      </w:r>
    </w:p>
    <w:p w:rsidR="00145830" w:rsidRPr="00DA52AE" w:rsidRDefault="00145830" w:rsidP="00145830">
      <w:pPr>
        <w:pStyle w:val="Textonotapie"/>
        <w:ind w:left="142"/>
        <w:rPr>
          <w:rFonts w:cs="Tahoma"/>
          <w:sz w:val="16"/>
          <w:szCs w:val="16"/>
        </w:rPr>
      </w:pPr>
      <w:r w:rsidRPr="00DA52AE">
        <w:rPr>
          <w:rFonts w:eastAsiaTheme="minorHAnsi" w:cs="Tahoma"/>
          <w:iCs/>
          <w:color w:val="000000"/>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 w:id="9">
    <w:p w:rsidR="00145830" w:rsidRPr="00DA52AE" w:rsidRDefault="00145830" w:rsidP="00145830">
      <w:pPr>
        <w:autoSpaceDE w:val="0"/>
        <w:autoSpaceDN w:val="0"/>
        <w:adjustRightInd w:val="0"/>
        <w:rPr>
          <w:rFonts w:ascii="Tahoma" w:eastAsiaTheme="minorHAnsi" w:hAnsi="Tahoma" w:cs="Tahoma"/>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438.- Falsedad genérica</w:t>
      </w:r>
      <w:r w:rsidRPr="00DA52AE">
        <w:rPr>
          <w:rFonts w:ascii="Tahoma" w:eastAsiaTheme="minorHAnsi" w:hAnsi="Tahoma" w:cs="Tahoma"/>
          <w:iCs/>
          <w:color w:val="000000"/>
          <w:sz w:val="16"/>
          <w:szCs w:val="16"/>
          <w:lang w:eastAsia="en-US"/>
        </w:rPr>
        <w:t xml:space="preserve"> </w:t>
      </w:r>
    </w:p>
    <w:p w:rsidR="00145830" w:rsidRPr="00DA52AE" w:rsidRDefault="00145830" w:rsidP="00145830">
      <w:pPr>
        <w:pStyle w:val="Textonotapie"/>
        <w:ind w:left="142"/>
        <w:rPr>
          <w:rFonts w:cs="Tahoma"/>
          <w:sz w:val="16"/>
          <w:szCs w:val="16"/>
        </w:rPr>
      </w:pPr>
      <w:r w:rsidRPr="00DA52AE">
        <w:rPr>
          <w:rFonts w:eastAsiaTheme="minorHAnsi" w:cs="Tahoma"/>
          <w:iCs/>
          <w:color w:val="000000"/>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42D" w:rsidRDefault="0087142D" w:rsidP="0087142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7142D" w:rsidRDefault="0087142D" w:rsidP="0087142D">
    <w:pPr>
      <w:pStyle w:val="Encabezado"/>
      <w:rPr>
        <w:noProof/>
      </w:rPr>
    </w:pPr>
  </w:p>
  <w:p w:rsidR="0087142D" w:rsidRDefault="0087142D" w:rsidP="0087142D">
    <w:pPr>
      <w:pStyle w:val="Encabezado"/>
      <w:rPr>
        <w:noProof/>
      </w:rPr>
    </w:pPr>
  </w:p>
  <w:p w:rsidR="0087142D" w:rsidRDefault="0087142D" w:rsidP="0087142D">
    <w:pPr>
      <w:pStyle w:val="Encabezado"/>
      <w:rPr>
        <w:noProof/>
      </w:rPr>
    </w:pPr>
  </w:p>
  <w:p w:rsidR="0087142D" w:rsidRDefault="0087142D" w:rsidP="0087142D">
    <w:pPr>
      <w:pStyle w:val="Encabezado"/>
      <w:jc w:val="center"/>
    </w:pPr>
    <w:r>
      <w:rPr>
        <w:rFonts w:ascii="Monotype Corsiva" w:hAnsi="Monotype Corsiva"/>
        <w:b/>
        <w:sz w:val="44"/>
        <w:szCs w:val="44"/>
      </w:rPr>
      <w:t xml:space="preserve">Resolución Nº   </w:t>
    </w:r>
    <w:r>
      <w:rPr>
        <w:rFonts w:ascii="Tahoma" w:hAnsi="Tahoma" w:cs="Tahoma"/>
        <w:b/>
        <w:sz w:val="44"/>
        <w:szCs w:val="44"/>
      </w:rPr>
      <w:t>902-2011-TC-S1</w:t>
    </w:r>
  </w:p>
  <w:p w:rsidR="0087142D" w:rsidRDefault="008714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D360A0A2"/>
    <w:lvl w:ilvl="0" w:tplc="18AAB99E">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92E7221"/>
    <w:multiLevelType w:val="hybridMultilevel"/>
    <w:tmpl w:val="88CEBDD2"/>
    <w:lvl w:ilvl="0" w:tplc="A1C2F942">
      <w:start w:val="1"/>
      <w:numFmt w:val="decimal"/>
      <w:lvlText w:val="%1."/>
      <w:lvlJc w:val="left"/>
      <w:pPr>
        <w:tabs>
          <w:tab w:val="num" w:pos="360"/>
        </w:tabs>
        <w:ind w:left="360" w:hanging="360"/>
      </w:pPr>
      <w:rPr>
        <w:rFonts w:ascii="Tahoma" w:hAnsi="Tahoma" w:cs="Tahoma" w:hint="default"/>
        <w:b w:val="0"/>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2">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8E38E1"/>
    <w:multiLevelType w:val="hybridMultilevel"/>
    <w:tmpl w:val="C116FD0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594036C"/>
    <w:multiLevelType w:val="multilevel"/>
    <w:tmpl w:val="7878F024"/>
    <w:lvl w:ilvl="0">
      <w:start w:val="1"/>
      <w:numFmt w:val="decimal"/>
      <w:lvlText w:val="%1."/>
      <w:lvlJc w:val="left"/>
      <w:pPr>
        <w:ind w:left="360" w:hanging="360"/>
      </w:pPr>
      <w:rPr>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5FAD3FAC"/>
    <w:multiLevelType w:val="hybridMultilevel"/>
    <w:tmpl w:val="CB7C0A6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A806FA6"/>
    <w:multiLevelType w:val="hybridMultilevel"/>
    <w:tmpl w:val="0F581B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2352AB3"/>
    <w:multiLevelType w:val="hybridMultilevel"/>
    <w:tmpl w:val="408A6168"/>
    <w:lvl w:ilvl="0" w:tplc="6B5AB692">
      <w:start w:val="1"/>
      <w:numFmt w:val="decimal"/>
      <w:lvlText w:val="%1."/>
      <w:lvlJc w:val="left"/>
      <w:pPr>
        <w:tabs>
          <w:tab w:val="num" w:pos="360"/>
        </w:tabs>
        <w:ind w:left="360" w:hanging="360"/>
      </w:pPr>
      <w:rPr>
        <w:rFonts w:ascii="Tahoma" w:hAnsi="Tahoma" w:cs="Tahoma" w:hint="default"/>
        <w:b w:val="0"/>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9">
    <w:nsid w:val="7E914598"/>
    <w:multiLevelType w:val="hybridMultilevel"/>
    <w:tmpl w:val="1F0A28A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4"/>
  </w:num>
  <w:num w:numId="2">
    <w:abstractNumId w:val="0"/>
  </w:num>
  <w:num w:numId="3">
    <w:abstractNumId w:val="7"/>
  </w:num>
  <w:num w:numId="4">
    <w:abstractNumId w:val="3"/>
  </w:num>
  <w:num w:numId="5">
    <w:abstractNumId w:val="9"/>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45830"/>
    <w:rsid w:val="00051665"/>
    <w:rsid w:val="00056E66"/>
    <w:rsid w:val="00145830"/>
    <w:rsid w:val="001F2C29"/>
    <w:rsid w:val="00407013"/>
    <w:rsid w:val="00425722"/>
    <w:rsid w:val="005F0E2E"/>
    <w:rsid w:val="006133D2"/>
    <w:rsid w:val="0087142D"/>
    <w:rsid w:val="008C794A"/>
    <w:rsid w:val="009042C5"/>
    <w:rsid w:val="00A75EFC"/>
    <w:rsid w:val="00D00ECC"/>
    <w:rsid w:val="00E654E6"/>
    <w:rsid w:val="00F152C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83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45830"/>
    <w:pPr>
      <w:spacing w:after="120"/>
    </w:pPr>
    <w:rPr>
      <w:sz w:val="16"/>
      <w:szCs w:val="16"/>
      <w:lang w:val="es-PE"/>
    </w:rPr>
  </w:style>
  <w:style w:type="character" w:customStyle="1" w:styleId="Textoindependiente3Car">
    <w:name w:val="Texto independiente 3 Car"/>
    <w:basedOn w:val="Fuentedeprrafopredeter"/>
    <w:link w:val="Textoindependiente3"/>
    <w:rsid w:val="0014583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45830"/>
    <w:pPr>
      <w:jc w:val="both"/>
    </w:pPr>
    <w:rPr>
      <w:rFonts w:ascii="Tahoma" w:hAnsi="Tahoma"/>
      <w:sz w:val="22"/>
      <w:szCs w:val="20"/>
    </w:rPr>
  </w:style>
  <w:style w:type="paragraph" w:styleId="Prrafodelista">
    <w:name w:val="List Paragraph"/>
    <w:basedOn w:val="Normal"/>
    <w:uiPriority w:val="34"/>
    <w:qFormat/>
    <w:rsid w:val="00145830"/>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145830"/>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14583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45830"/>
    <w:rPr>
      <w:rFonts w:cs="Times New Roman"/>
      <w:vertAlign w:val="superscript"/>
    </w:rPr>
  </w:style>
  <w:style w:type="paragraph" w:styleId="Piedepgina">
    <w:name w:val="footer"/>
    <w:basedOn w:val="Normal"/>
    <w:link w:val="PiedepginaCar"/>
    <w:uiPriority w:val="99"/>
    <w:unhideWhenUsed/>
    <w:rsid w:val="00145830"/>
    <w:pPr>
      <w:tabs>
        <w:tab w:val="center" w:pos="4252"/>
        <w:tab w:val="right" w:pos="8504"/>
      </w:tabs>
    </w:pPr>
  </w:style>
  <w:style w:type="character" w:customStyle="1" w:styleId="PiedepginaCar">
    <w:name w:val="Pie de página Car"/>
    <w:basedOn w:val="Fuentedeprrafopredeter"/>
    <w:link w:val="Piedepgina"/>
    <w:uiPriority w:val="99"/>
    <w:rsid w:val="00145830"/>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145830"/>
    <w:pPr>
      <w:spacing w:after="120"/>
      <w:ind w:left="283"/>
    </w:pPr>
  </w:style>
  <w:style w:type="character" w:customStyle="1" w:styleId="SangradetextonormalCar">
    <w:name w:val="Sangría de texto normal Car"/>
    <w:basedOn w:val="Fuentedeprrafopredeter"/>
    <w:link w:val="Sangradetextonormal"/>
    <w:uiPriority w:val="99"/>
    <w:rsid w:val="00145830"/>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145830"/>
    <w:pPr>
      <w:tabs>
        <w:tab w:val="center" w:pos="4252"/>
        <w:tab w:val="right" w:pos="8504"/>
      </w:tabs>
    </w:pPr>
  </w:style>
  <w:style w:type="character" w:customStyle="1" w:styleId="EncabezadoCar">
    <w:name w:val="Encabezado Car"/>
    <w:aliases w:val="maria Car,h Car"/>
    <w:basedOn w:val="Fuentedeprrafopredeter"/>
    <w:link w:val="Encabezado"/>
    <w:uiPriority w:val="99"/>
    <w:rsid w:val="00145830"/>
    <w:rPr>
      <w:rFonts w:ascii="Times New Roman" w:eastAsia="Times New Roman" w:hAnsi="Times New Roman" w:cs="Times New Roman"/>
      <w:sz w:val="24"/>
      <w:szCs w:val="24"/>
      <w:lang w:eastAsia="es-ES"/>
    </w:rPr>
  </w:style>
  <w:style w:type="paragraph" w:styleId="NormalWeb">
    <w:name w:val="Normal (Web)"/>
    <w:basedOn w:val="Normal"/>
    <w:rsid w:val="0014583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3882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DCA22-4669-4A32-BD36-C94DEEF7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2100</Words>
  <Characters>11551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2011-05-30T16:51:00Z</cp:lastPrinted>
  <dcterms:created xsi:type="dcterms:W3CDTF">2011-05-30T15:42:00Z</dcterms:created>
  <dcterms:modified xsi:type="dcterms:W3CDTF">2011-06-22T14:42:00Z</dcterms:modified>
</cp:coreProperties>
</file>